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287DE" w14:textId="336BFF02" w:rsidR="005131BE" w:rsidRPr="00B022FA" w:rsidRDefault="00187748" w:rsidP="00354200">
      <w:pPr>
        <w:spacing w:after="0"/>
        <w:jc w:val="center"/>
        <w:rPr>
          <w:rFonts w:ascii="Arial" w:hAnsi="Arial" w:cs="Arial"/>
          <w:b/>
          <w:sz w:val="24"/>
          <w:szCs w:val="24"/>
        </w:rPr>
      </w:pPr>
      <w:r w:rsidRPr="00B022FA">
        <w:rPr>
          <w:rFonts w:ascii="Arial" w:hAnsi="Arial" w:cs="Arial"/>
          <w:b/>
          <w:sz w:val="24"/>
          <w:szCs w:val="24"/>
        </w:rPr>
        <w:t>MASTER LEASE</w:t>
      </w:r>
      <w:r w:rsidR="00545854" w:rsidRPr="00B022FA">
        <w:rPr>
          <w:rFonts w:ascii="Arial" w:hAnsi="Arial" w:cs="Arial"/>
          <w:b/>
          <w:sz w:val="24"/>
          <w:szCs w:val="24"/>
        </w:rPr>
        <w:t xml:space="preserve"> SCOPE OF </w:t>
      </w:r>
      <w:r w:rsidR="00BB1AC8" w:rsidRPr="00B022FA">
        <w:rPr>
          <w:rFonts w:ascii="Arial" w:hAnsi="Arial" w:cs="Arial"/>
          <w:b/>
          <w:sz w:val="24"/>
          <w:szCs w:val="24"/>
        </w:rPr>
        <w:t xml:space="preserve">WORK </w:t>
      </w:r>
      <w:r w:rsidR="005131BE" w:rsidRPr="00B022FA">
        <w:rPr>
          <w:rFonts w:ascii="Arial" w:hAnsi="Arial" w:cs="Arial"/>
          <w:b/>
          <w:sz w:val="24"/>
          <w:szCs w:val="24"/>
        </w:rPr>
        <w:t>AND TECHNICAL REQUIREMENTS</w:t>
      </w:r>
    </w:p>
    <w:p w14:paraId="64E25348" w14:textId="577338B2" w:rsidR="00545854" w:rsidRPr="00B022FA" w:rsidRDefault="00545854" w:rsidP="00545854">
      <w:pPr>
        <w:spacing w:after="0"/>
        <w:jc w:val="center"/>
        <w:rPr>
          <w:rFonts w:ascii="Arial" w:hAnsi="Arial" w:cs="Arial"/>
          <w:b/>
          <w:sz w:val="24"/>
          <w:szCs w:val="24"/>
        </w:rPr>
      </w:pPr>
    </w:p>
    <w:p w14:paraId="2C10C3D5" w14:textId="77777777" w:rsidR="00A653AA" w:rsidRPr="00B022FA" w:rsidRDefault="00A653AA" w:rsidP="00A653AA">
      <w:pPr>
        <w:spacing w:before="40" w:after="40" w:line="240" w:lineRule="auto"/>
        <w:rPr>
          <w:rFonts w:ascii="Arial" w:eastAsia="Aptos" w:hAnsi="Arial" w:cs="Arial"/>
          <w:kern w:val="2"/>
          <w:sz w:val="24"/>
          <w:szCs w:val="24"/>
          <w14:ligatures w14:val="standardContextual"/>
        </w:rPr>
      </w:pPr>
      <w:r w:rsidRPr="00B022FA">
        <w:rPr>
          <w:rFonts w:ascii="Arial" w:eastAsia="Times New Roman" w:hAnsi="Arial" w:cs="Arial"/>
          <w:sz w:val="24"/>
          <w:szCs w:val="24"/>
        </w:rPr>
        <w:t xml:space="preserve">The State of Delaware, Department of Health and Social Services, Division of Substance Abuse and Mental Health (DSAMH) </w:t>
      </w:r>
      <w:r w:rsidRPr="00B022FA">
        <w:rPr>
          <w:rFonts w:ascii="Arial" w:eastAsia="Aptos" w:hAnsi="Arial" w:cs="Arial"/>
          <w:kern w:val="2"/>
          <w:sz w:val="24"/>
          <w:szCs w:val="24"/>
          <w14:ligatures w14:val="standardContextual"/>
        </w:rPr>
        <w:t>is soliciting proposals from qualified property management organizations to secure, manage, and maintain residential units under a Master Lease model. These units will support individuals with serious and persistent mental illness (SPMI) enrolled in the Promoting Optimal Mental Health for Individuals through Supports and Empowerment (PROMISE) Supported Apartment Program (SAP) Supported Housing Program (SHP), and DSAMH’s Transitional Case Management Bed Program. The goal is to provide safe, affordable, and recovery-oriented housing integrated with behavioral health services.</w:t>
      </w:r>
    </w:p>
    <w:p w14:paraId="1A357DCD" w14:textId="77777777" w:rsidR="00A653AA" w:rsidRPr="00B022FA" w:rsidRDefault="00A653AA" w:rsidP="00A653AA">
      <w:pPr>
        <w:spacing w:before="40" w:after="40" w:line="240" w:lineRule="auto"/>
        <w:rPr>
          <w:rFonts w:ascii="Arial" w:hAnsi="Arial" w:cs="Arial"/>
          <w:sz w:val="24"/>
          <w:szCs w:val="24"/>
        </w:rPr>
      </w:pPr>
    </w:p>
    <w:p w14:paraId="1127D686" w14:textId="77777777" w:rsidR="00A653AA" w:rsidRPr="00B022FA" w:rsidRDefault="00A653AA" w:rsidP="00A653AA">
      <w:pPr>
        <w:spacing w:after="0"/>
        <w:rPr>
          <w:rFonts w:ascii="Arial" w:hAnsi="Arial" w:cs="Arial"/>
          <w:sz w:val="24"/>
          <w:szCs w:val="24"/>
          <w:u w:val="single"/>
        </w:rPr>
      </w:pPr>
      <w:r w:rsidRPr="00B022FA">
        <w:rPr>
          <w:rFonts w:ascii="Arial" w:hAnsi="Arial" w:cs="Arial"/>
          <w:sz w:val="24"/>
          <w:szCs w:val="24"/>
          <w:u w:val="single"/>
        </w:rPr>
        <w:t>Background</w:t>
      </w:r>
    </w:p>
    <w:p w14:paraId="405D9D3C" w14:textId="77777777" w:rsidR="00A653AA" w:rsidRPr="00B022FA" w:rsidRDefault="00A653AA" w:rsidP="00A653AA">
      <w:pPr>
        <w:autoSpaceDE w:val="0"/>
        <w:autoSpaceDN w:val="0"/>
        <w:adjustRightInd w:val="0"/>
        <w:spacing w:after="0" w:line="240" w:lineRule="auto"/>
        <w:rPr>
          <w:rFonts w:ascii="Arial" w:eastAsia="Times New Roman" w:hAnsi="Arial" w:cs="Arial"/>
          <w:sz w:val="24"/>
          <w:szCs w:val="24"/>
        </w:rPr>
      </w:pPr>
      <w:r w:rsidRPr="00B022FA">
        <w:rPr>
          <w:rFonts w:ascii="Arial" w:eastAsia="Times New Roman" w:hAnsi="Arial" w:cs="Arial"/>
          <w:sz w:val="24"/>
          <w:szCs w:val="24"/>
        </w:rPr>
        <w:t>Housing plays a vital role in supporting individuals with Serious and Persistent Mental Illness (SPMI) by providing the stability necessary for recovery and reducing the frequency of crises. Without secure housing, many people with SPMI cycle through hospitals, jails, and shelters, which exacerbates their symptoms and disrupts treatment. Stable housing—especially through models like Master Lease services—offers a safe environment where individuals can focus on therapy, medication adherence, and rebuilding their lives. These housing models often support integrated behavioral health services, case management, and tenancy support, fostering autonomy while encouraging engagement. Moreover, housing reduces public costs by decreasing emergency room visits, hospitalizations, and incarcerations.  Ultimately, housing is not just a place to live—it’s a platform for healing, dignity, and community inclusion.</w:t>
      </w:r>
    </w:p>
    <w:p w14:paraId="6265D65E" w14:textId="77777777" w:rsidR="00A653AA" w:rsidRPr="00B022FA" w:rsidRDefault="00A653AA" w:rsidP="00A653AA">
      <w:pPr>
        <w:autoSpaceDE w:val="0"/>
        <w:autoSpaceDN w:val="0"/>
        <w:adjustRightInd w:val="0"/>
        <w:spacing w:after="0" w:line="240" w:lineRule="auto"/>
        <w:rPr>
          <w:rFonts w:ascii="Arial" w:eastAsia="Times New Roman" w:hAnsi="Arial" w:cs="Arial"/>
          <w:sz w:val="24"/>
          <w:szCs w:val="24"/>
        </w:rPr>
      </w:pPr>
    </w:p>
    <w:p w14:paraId="77DDD09A" w14:textId="77777777" w:rsidR="00A653AA" w:rsidRPr="00B022FA" w:rsidRDefault="00A653AA" w:rsidP="00A653AA">
      <w:pPr>
        <w:spacing w:after="0"/>
        <w:rPr>
          <w:rFonts w:ascii="Arial" w:hAnsi="Arial" w:cs="Arial"/>
          <w:sz w:val="24"/>
          <w:szCs w:val="24"/>
        </w:rPr>
      </w:pPr>
      <w:r w:rsidRPr="00B022FA">
        <w:rPr>
          <w:rFonts w:ascii="Arial" w:hAnsi="Arial" w:cs="Arial"/>
          <w:sz w:val="24"/>
          <w:szCs w:val="24"/>
        </w:rPr>
        <w:t>This initiative seeks to:</w:t>
      </w:r>
    </w:p>
    <w:p w14:paraId="139898D6" w14:textId="77777777" w:rsidR="00A653AA" w:rsidRPr="00B022FA" w:rsidRDefault="00A653AA" w:rsidP="00A653AA">
      <w:pPr>
        <w:pStyle w:val="ListParagraph"/>
        <w:numPr>
          <w:ilvl w:val="0"/>
          <w:numId w:val="14"/>
        </w:numPr>
        <w:spacing w:after="0"/>
        <w:ind w:left="630"/>
        <w:rPr>
          <w:rFonts w:ascii="Arial" w:hAnsi="Arial" w:cs="Arial"/>
          <w:sz w:val="24"/>
          <w:szCs w:val="24"/>
        </w:rPr>
      </w:pPr>
      <w:r w:rsidRPr="00B022FA">
        <w:rPr>
          <w:rFonts w:ascii="Arial" w:hAnsi="Arial" w:cs="Arial"/>
          <w:sz w:val="24"/>
          <w:szCs w:val="24"/>
        </w:rPr>
        <w:t>Improve access to housing and housing stability</w:t>
      </w:r>
    </w:p>
    <w:p w14:paraId="602C0B01" w14:textId="77777777" w:rsidR="00A653AA" w:rsidRPr="00B022FA" w:rsidRDefault="00A653AA" w:rsidP="00A653AA">
      <w:pPr>
        <w:pStyle w:val="ListParagraph"/>
        <w:numPr>
          <w:ilvl w:val="0"/>
          <w:numId w:val="14"/>
        </w:numPr>
        <w:spacing w:after="0"/>
        <w:ind w:left="630"/>
        <w:rPr>
          <w:rFonts w:ascii="Arial" w:hAnsi="Arial" w:cs="Arial"/>
          <w:sz w:val="24"/>
          <w:szCs w:val="24"/>
        </w:rPr>
      </w:pPr>
      <w:r w:rsidRPr="00B022FA">
        <w:rPr>
          <w:rFonts w:ascii="Arial" w:hAnsi="Arial" w:cs="Arial"/>
          <w:sz w:val="24"/>
          <w:szCs w:val="24"/>
        </w:rPr>
        <w:t>Supports rapid and flexible housing solution</w:t>
      </w:r>
    </w:p>
    <w:p w14:paraId="14AF0739" w14:textId="77777777" w:rsidR="00A653AA" w:rsidRPr="00B022FA" w:rsidRDefault="00A653AA" w:rsidP="00A653AA">
      <w:pPr>
        <w:pStyle w:val="ListParagraph"/>
        <w:numPr>
          <w:ilvl w:val="0"/>
          <w:numId w:val="14"/>
        </w:numPr>
        <w:spacing w:after="0"/>
        <w:ind w:left="630"/>
        <w:rPr>
          <w:rFonts w:ascii="Arial" w:hAnsi="Arial" w:cs="Arial"/>
          <w:sz w:val="24"/>
          <w:szCs w:val="24"/>
        </w:rPr>
      </w:pPr>
      <w:r w:rsidRPr="00B022FA">
        <w:rPr>
          <w:rFonts w:ascii="Arial" w:hAnsi="Arial" w:cs="Arial"/>
          <w:sz w:val="24"/>
          <w:szCs w:val="24"/>
        </w:rPr>
        <w:t>Support landlord engagement and risk mitigation</w:t>
      </w:r>
    </w:p>
    <w:p w14:paraId="19B4D1BA" w14:textId="77777777" w:rsidR="00A653AA" w:rsidRPr="00B022FA" w:rsidRDefault="00A653AA" w:rsidP="00A653AA">
      <w:pPr>
        <w:pStyle w:val="ListParagraph"/>
        <w:numPr>
          <w:ilvl w:val="0"/>
          <w:numId w:val="14"/>
        </w:numPr>
        <w:spacing w:after="0"/>
        <w:ind w:left="630"/>
        <w:rPr>
          <w:rFonts w:ascii="Arial" w:hAnsi="Arial" w:cs="Arial"/>
          <w:sz w:val="24"/>
          <w:szCs w:val="24"/>
        </w:rPr>
      </w:pPr>
      <w:r w:rsidRPr="00B022FA">
        <w:rPr>
          <w:rFonts w:ascii="Arial" w:hAnsi="Arial" w:cs="Arial"/>
          <w:sz w:val="24"/>
          <w:szCs w:val="24"/>
        </w:rPr>
        <w:t>Improves health and stability outcomes</w:t>
      </w:r>
    </w:p>
    <w:p w14:paraId="48DE9301" w14:textId="77777777" w:rsidR="00A653AA" w:rsidRPr="00B022FA" w:rsidRDefault="00A653AA" w:rsidP="00A653AA">
      <w:pPr>
        <w:pStyle w:val="ListParagraph"/>
        <w:numPr>
          <w:ilvl w:val="0"/>
          <w:numId w:val="14"/>
        </w:numPr>
        <w:spacing w:after="0"/>
        <w:ind w:left="630"/>
        <w:rPr>
          <w:rFonts w:ascii="Arial" w:hAnsi="Arial" w:cs="Arial"/>
          <w:sz w:val="24"/>
          <w:szCs w:val="24"/>
        </w:rPr>
      </w:pPr>
      <w:r w:rsidRPr="00B022FA">
        <w:rPr>
          <w:rFonts w:ascii="Arial" w:hAnsi="Arial" w:cs="Arial"/>
          <w:sz w:val="24"/>
          <w:szCs w:val="24"/>
        </w:rPr>
        <w:t>Supports community integration and wraparound support services</w:t>
      </w:r>
    </w:p>
    <w:p w14:paraId="1DBA5D50" w14:textId="77777777" w:rsidR="00A653AA" w:rsidRPr="00B022FA" w:rsidRDefault="00A653AA" w:rsidP="00A653AA">
      <w:pPr>
        <w:spacing w:after="0"/>
        <w:rPr>
          <w:rFonts w:ascii="Arial" w:hAnsi="Arial" w:cs="Arial"/>
          <w:b/>
          <w:sz w:val="24"/>
          <w:szCs w:val="24"/>
          <w:u w:val="single"/>
        </w:rPr>
      </w:pPr>
    </w:p>
    <w:p w14:paraId="119A98A3" w14:textId="77777777" w:rsidR="00A653AA" w:rsidRPr="00B022FA" w:rsidRDefault="00A653AA" w:rsidP="00A653AA">
      <w:pPr>
        <w:spacing w:after="0"/>
        <w:rPr>
          <w:rFonts w:ascii="Arial" w:hAnsi="Arial" w:cs="Arial"/>
          <w:b/>
          <w:sz w:val="24"/>
          <w:szCs w:val="24"/>
          <w:u w:val="single"/>
        </w:rPr>
      </w:pPr>
      <w:r w:rsidRPr="00B022FA">
        <w:rPr>
          <w:rFonts w:ascii="Arial" w:hAnsi="Arial" w:cs="Arial"/>
          <w:b/>
          <w:sz w:val="24"/>
          <w:szCs w:val="24"/>
          <w:u w:val="single"/>
        </w:rPr>
        <w:t>Client Target Population</w:t>
      </w:r>
    </w:p>
    <w:p w14:paraId="72DE5F22" w14:textId="77777777" w:rsidR="00A653AA" w:rsidRPr="00B022FA" w:rsidRDefault="00A653AA" w:rsidP="00A653AA">
      <w:pPr>
        <w:spacing w:after="0"/>
        <w:rPr>
          <w:rFonts w:ascii="Arial" w:hAnsi="Arial" w:cs="Arial"/>
          <w:bCs/>
          <w:sz w:val="24"/>
          <w:szCs w:val="24"/>
        </w:rPr>
      </w:pPr>
    </w:p>
    <w:p w14:paraId="57F484D9" w14:textId="77777777" w:rsidR="00A653AA" w:rsidRDefault="00A653AA" w:rsidP="00A653AA">
      <w:pPr>
        <w:spacing w:after="0"/>
        <w:rPr>
          <w:rFonts w:ascii="Arial" w:hAnsi="Arial" w:cs="Arial"/>
          <w:bCs/>
          <w:sz w:val="24"/>
          <w:szCs w:val="24"/>
        </w:rPr>
      </w:pPr>
      <w:r w:rsidRPr="00B022FA">
        <w:rPr>
          <w:rFonts w:ascii="Arial" w:hAnsi="Arial" w:cs="Arial"/>
          <w:bCs/>
          <w:sz w:val="24"/>
          <w:szCs w:val="24"/>
        </w:rPr>
        <w:t>The Vendor will provide master lease services to adult (age 18 and over) residents of Delaware, primarily diagnosed with a serious and persistent mental illness (can have a co-occurring substance use disorder) enrolled in the PROMISE Supported Apartment Program (SAP), Supported Housing Program (SHP), and DSAMH’s Transitional Case Management Bed Program (TCM).</w:t>
      </w:r>
    </w:p>
    <w:p w14:paraId="5A996F71" w14:textId="77777777" w:rsidR="00A653AA" w:rsidRDefault="00A653AA" w:rsidP="00A653AA">
      <w:pPr>
        <w:spacing w:after="0"/>
        <w:rPr>
          <w:rFonts w:ascii="Arial" w:hAnsi="Arial" w:cs="Arial"/>
          <w:bCs/>
          <w:sz w:val="24"/>
          <w:szCs w:val="24"/>
        </w:rPr>
      </w:pPr>
    </w:p>
    <w:p w14:paraId="4B55307F" w14:textId="77777777" w:rsidR="00A653AA" w:rsidRPr="00B022FA" w:rsidRDefault="00A653AA" w:rsidP="00A653AA">
      <w:pPr>
        <w:spacing w:after="0"/>
        <w:rPr>
          <w:rFonts w:ascii="Arial" w:hAnsi="Arial" w:cs="Arial"/>
          <w:bCs/>
          <w:sz w:val="24"/>
          <w:szCs w:val="24"/>
        </w:rPr>
      </w:pPr>
      <w:r>
        <w:rPr>
          <w:rFonts w:ascii="Arial" w:hAnsi="Arial" w:cs="Arial"/>
          <w:bCs/>
          <w:sz w:val="24"/>
          <w:szCs w:val="24"/>
        </w:rPr>
        <w:t>The PROMISE and TCM Programs</w:t>
      </w:r>
      <w:r w:rsidRPr="0052688A">
        <w:rPr>
          <w:rFonts w:ascii="Arial" w:hAnsi="Arial" w:cs="Arial"/>
          <w:bCs/>
          <w:sz w:val="24"/>
          <w:szCs w:val="24"/>
        </w:rPr>
        <w:t xml:space="preserve"> are </w:t>
      </w:r>
      <w:r>
        <w:rPr>
          <w:rFonts w:ascii="Arial" w:hAnsi="Arial" w:cs="Arial"/>
          <w:bCs/>
          <w:sz w:val="24"/>
          <w:szCs w:val="24"/>
        </w:rPr>
        <w:t>managed</w:t>
      </w:r>
      <w:r w:rsidRPr="0052688A">
        <w:rPr>
          <w:rFonts w:ascii="Arial" w:hAnsi="Arial" w:cs="Arial"/>
          <w:bCs/>
          <w:sz w:val="24"/>
          <w:szCs w:val="24"/>
        </w:rPr>
        <w:t xml:space="preserve"> by DSAMH </w:t>
      </w:r>
      <w:r>
        <w:rPr>
          <w:rFonts w:ascii="Arial" w:hAnsi="Arial" w:cs="Arial"/>
          <w:bCs/>
          <w:sz w:val="24"/>
          <w:szCs w:val="24"/>
        </w:rPr>
        <w:t>and/</w:t>
      </w:r>
      <w:r w:rsidRPr="0052688A">
        <w:rPr>
          <w:rFonts w:ascii="Arial" w:hAnsi="Arial" w:cs="Arial"/>
          <w:bCs/>
          <w:sz w:val="24"/>
          <w:szCs w:val="24"/>
        </w:rPr>
        <w:t xml:space="preserve">or by </w:t>
      </w:r>
      <w:r>
        <w:rPr>
          <w:rFonts w:ascii="Arial" w:hAnsi="Arial" w:cs="Arial"/>
          <w:bCs/>
          <w:sz w:val="24"/>
          <w:szCs w:val="24"/>
        </w:rPr>
        <w:t xml:space="preserve">its </w:t>
      </w:r>
      <w:r w:rsidRPr="0052688A">
        <w:rPr>
          <w:rFonts w:ascii="Arial" w:hAnsi="Arial" w:cs="Arial"/>
          <w:bCs/>
          <w:sz w:val="24"/>
          <w:szCs w:val="24"/>
        </w:rPr>
        <w:t xml:space="preserve">contracted providers.  The selected </w:t>
      </w:r>
      <w:r>
        <w:rPr>
          <w:rFonts w:ascii="Arial" w:hAnsi="Arial" w:cs="Arial"/>
          <w:bCs/>
          <w:sz w:val="24"/>
          <w:szCs w:val="24"/>
        </w:rPr>
        <w:t xml:space="preserve">master lease services </w:t>
      </w:r>
      <w:r w:rsidRPr="0052688A">
        <w:rPr>
          <w:rFonts w:ascii="Arial" w:hAnsi="Arial" w:cs="Arial"/>
          <w:bCs/>
          <w:sz w:val="24"/>
          <w:szCs w:val="24"/>
        </w:rPr>
        <w:t xml:space="preserve">vendor will be responsible for </w:t>
      </w:r>
      <w:r>
        <w:rPr>
          <w:rFonts w:ascii="Arial" w:hAnsi="Arial" w:cs="Arial"/>
          <w:bCs/>
          <w:sz w:val="24"/>
          <w:szCs w:val="24"/>
        </w:rPr>
        <w:t xml:space="preserve">master lease services only, with no responsibility for mental health service provision.  Expectations for the master lease service vendor’s engagement and communication with DSAMH and/or contracted mental health service providers is described in the Service Functions Section. </w:t>
      </w:r>
    </w:p>
    <w:p w14:paraId="1E3247F0" w14:textId="77777777" w:rsidR="00A653AA" w:rsidRPr="00B022FA" w:rsidRDefault="00A653AA" w:rsidP="00A653AA">
      <w:pPr>
        <w:spacing w:after="0"/>
        <w:rPr>
          <w:rFonts w:ascii="Arial" w:hAnsi="Arial" w:cs="Arial"/>
          <w:sz w:val="24"/>
          <w:szCs w:val="24"/>
        </w:rPr>
      </w:pPr>
    </w:p>
    <w:p w14:paraId="09FE86D3" w14:textId="77777777" w:rsidR="00A653AA" w:rsidRPr="00B022FA" w:rsidRDefault="00A653AA" w:rsidP="00A653AA">
      <w:pPr>
        <w:spacing w:after="0"/>
        <w:rPr>
          <w:rFonts w:ascii="Arial" w:eastAsia="Times New Roman" w:hAnsi="Arial" w:cs="Arial"/>
          <w:sz w:val="24"/>
          <w:szCs w:val="24"/>
          <w:u w:val="single"/>
        </w:rPr>
      </w:pPr>
      <w:r w:rsidRPr="00B022FA">
        <w:rPr>
          <w:rFonts w:ascii="Arial" w:eastAsia="Times New Roman" w:hAnsi="Arial" w:cs="Arial"/>
          <w:sz w:val="24"/>
          <w:szCs w:val="24"/>
          <w:u w:val="single"/>
        </w:rPr>
        <w:lastRenderedPageBreak/>
        <w:t>Supported Apartment Program (SAP)</w:t>
      </w:r>
    </w:p>
    <w:p w14:paraId="04870ED1" w14:textId="77777777" w:rsidR="00A653AA" w:rsidRPr="00B022FA" w:rsidRDefault="00A653AA" w:rsidP="00A653AA">
      <w:pPr>
        <w:spacing w:after="0" w:line="240" w:lineRule="auto"/>
        <w:textAlignment w:val="baseline"/>
        <w:rPr>
          <w:rFonts w:ascii="Arial" w:eastAsia="Times New Roman" w:hAnsi="Arial" w:cs="Arial"/>
          <w:sz w:val="24"/>
          <w:szCs w:val="24"/>
          <w:bdr w:val="none" w:sz="0" w:space="0" w:color="auto" w:frame="1"/>
          <w:shd w:val="clear" w:color="auto" w:fill="FFFFFF"/>
        </w:rPr>
      </w:pPr>
      <w:r w:rsidRPr="00B022FA">
        <w:rPr>
          <w:rFonts w:ascii="Arial" w:eastAsia="Times New Roman" w:hAnsi="Arial" w:cs="Arial"/>
          <w:sz w:val="24"/>
          <w:szCs w:val="24"/>
          <w:bdr w:val="none" w:sz="0" w:space="0" w:color="auto" w:frame="1"/>
          <w:shd w:val="clear" w:color="auto" w:fill="FFFFFF"/>
        </w:rPr>
        <w:t>The PROMISE program (Promoting Optimal Mental Health for Individuals through Supports and Empowerment) targets individuals with behavioral health needs and functional limitations to offer an array of home and community-based services that are person-centered, recovery-oriented, and aimed at supporting clients in the community.  One of PROMISE’s services includes t</w:t>
      </w:r>
      <w:r w:rsidRPr="00960C48">
        <w:rPr>
          <w:rFonts w:ascii="Arial" w:eastAsia="Times New Roman" w:hAnsi="Arial" w:cs="Arial"/>
          <w:sz w:val="24"/>
          <w:szCs w:val="24"/>
          <w:bdr w:val="none" w:sz="0" w:space="0" w:color="auto" w:frame="1"/>
          <w:shd w:val="clear" w:color="auto" w:fill="FFFFFF"/>
        </w:rPr>
        <w:t>he Supported Apartment Program (SAP)</w:t>
      </w:r>
      <w:r w:rsidRPr="00B022FA">
        <w:rPr>
          <w:rFonts w:ascii="Arial" w:eastAsia="Times New Roman" w:hAnsi="Arial" w:cs="Arial"/>
          <w:sz w:val="24"/>
          <w:szCs w:val="24"/>
          <w:bdr w:val="none" w:sz="0" w:space="0" w:color="auto" w:frame="1"/>
          <w:shd w:val="clear" w:color="auto" w:fill="FFFFFF"/>
        </w:rPr>
        <w:t>.  This</w:t>
      </w:r>
      <w:r w:rsidRPr="00960C48">
        <w:rPr>
          <w:rFonts w:ascii="Arial" w:eastAsia="Times New Roman" w:hAnsi="Arial" w:cs="Arial"/>
          <w:sz w:val="24"/>
          <w:szCs w:val="24"/>
          <w:bdr w:val="none" w:sz="0" w:space="0" w:color="auto" w:frame="1"/>
          <w:shd w:val="clear" w:color="auto" w:fill="FFFFFF"/>
        </w:rPr>
        <w:t xml:space="preserve"> is a statewide apartment program for </w:t>
      </w:r>
      <w:r w:rsidRPr="00B022FA">
        <w:rPr>
          <w:rFonts w:ascii="Arial" w:eastAsia="Times New Roman" w:hAnsi="Arial" w:cs="Arial"/>
          <w:sz w:val="24"/>
          <w:szCs w:val="24"/>
          <w:bdr w:val="none" w:sz="0" w:space="0" w:color="auto" w:frame="1"/>
          <w:shd w:val="clear" w:color="auto" w:fill="FFFFFF"/>
        </w:rPr>
        <w:t>individuals that need</w:t>
      </w:r>
      <w:r w:rsidRPr="00960C48">
        <w:rPr>
          <w:rFonts w:ascii="Arial" w:eastAsia="Times New Roman" w:hAnsi="Arial" w:cs="Arial"/>
          <w:sz w:val="24"/>
          <w:szCs w:val="24"/>
          <w:bdr w:val="none" w:sz="0" w:space="0" w:color="auto" w:frame="1"/>
          <w:shd w:val="clear" w:color="auto" w:fill="FFFFFF"/>
        </w:rPr>
        <w:t xml:space="preserve"> additional daytime, evening, overnight and weekend support.  This model i</w:t>
      </w:r>
      <w:r w:rsidRPr="00B022FA">
        <w:rPr>
          <w:rFonts w:ascii="Arial" w:eastAsia="Times New Roman" w:hAnsi="Arial" w:cs="Arial"/>
          <w:sz w:val="24"/>
          <w:szCs w:val="24"/>
          <w:bdr w:val="none" w:sz="0" w:space="0" w:color="auto" w:frame="1"/>
          <w:shd w:val="clear" w:color="auto" w:fill="FFFFFF"/>
        </w:rPr>
        <w:t>ncludes</w:t>
      </w:r>
      <w:r w:rsidRPr="00960C48">
        <w:rPr>
          <w:rFonts w:ascii="Arial" w:eastAsia="Times New Roman" w:hAnsi="Arial" w:cs="Arial"/>
          <w:sz w:val="24"/>
          <w:szCs w:val="24"/>
          <w:bdr w:val="none" w:sz="0" w:space="0" w:color="auto" w:frame="1"/>
          <w:shd w:val="clear" w:color="auto" w:fill="FFFFFF"/>
        </w:rPr>
        <w:t xml:space="preserve"> the </w:t>
      </w:r>
      <w:r w:rsidRPr="00B022FA">
        <w:rPr>
          <w:rFonts w:ascii="Arial" w:eastAsia="Times New Roman" w:hAnsi="Arial" w:cs="Arial"/>
          <w:sz w:val="24"/>
          <w:szCs w:val="24"/>
          <w:bdr w:val="none" w:sz="0" w:space="0" w:color="auto" w:frame="1"/>
          <w:shd w:val="clear" w:color="auto" w:fill="FFFFFF"/>
        </w:rPr>
        <w:t xml:space="preserve">master </w:t>
      </w:r>
      <w:r w:rsidRPr="00960C48">
        <w:rPr>
          <w:rFonts w:ascii="Arial" w:eastAsia="Times New Roman" w:hAnsi="Arial" w:cs="Arial"/>
          <w:sz w:val="24"/>
          <w:szCs w:val="24"/>
          <w:bdr w:val="none" w:sz="0" w:space="0" w:color="auto" w:frame="1"/>
          <w:shd w:val="clear" w:color="auto" w:fill="FFFFFF"/>
        </w:rPr>
        <w:t>leasing of apartments in various integrated locations throughout the community, often in small clusters. </w:t>
      </w:r>
      <w:r w:rsidRPr="00B022FA">
        <w:rPr>
          <w:rFonts w:ascii="Arial" w:eastAsia="Times New Roman" w:hAnsi="Arial" w:cs="Arial"/>
          <w:sz w:val="24"/>
          <w:szCs w:val="24"/>
          <w:bdr w:val="none" w:sz="0" w:space="0" w:color="auto" w:frame="1"/>
          <w:shd w:val="clear" w:color="auto" w:fill="FFFFFF"/>
        </w:rPr>
        <w:t xml:space="preserve">Behavioral Health </w:t>
      </w:r>
      <w:r w:rsidRPr="00960C48">
        <w:rPr>
          <w:rFonts w:ascii="Arial" w:eastAsia="Times New Roman" w:hAnsi="Arial" w:cs="Arial"/>
          <w:sz w:val="24"/>
          <w:szCs w:val="24"/>
          <w:bdr w:val="none" w:sz="0" w:space="0" w:color="auto" w:frame="1"/>
          <w:shd w:val="clear" w:color="auto" w:fill="FFFFFF"/>
        </w:rPr>
        <w:t xml:space="preserve">Services directly assist persons with daily activities, personal care, and peer support to meet their daily living needs and ensure adequate functioning and safety in their home and community.  </w:t>
      </w:r>
      <w:bookmarkStart w:id="0" w:name="_Hlk213972962"/>
      <w:r w:rsidRPr="00960C48">
        <w:rPr>
          <w:rFonts w:ascii="Arial" w:eastAsia="Times New Roman" w:hAnsi="Arial" w:cs="Arial"/>
          <w:sz w:val="24"/>
          <w:szCs w:val="24"/>
          <w:bdr w:val="none" w:sz="0" w:space="0" w:color="auto" w:frame="1"/>
          <w:shd w:val="clear" w:color="auto" w:fill="FFFFFF"/>
        </w:rPr>
        <w:t>Eligibility includes</w:t>
      </w:r>
      <w:r w:rsidRPr="00B022FA">
        <w:rPr>
          <w:rFonts w:ascii="Arial" w:eastAsia="Times New Roman" w:hAnsi="Arial" w:cs="Arial"/>
          <w:sz w:val="24"/>
          <w:szCs w:val="24"/>
          <w:bdr w:val="none" w:sz="0" w:space="0" w:color="auto" w:frame="1"/>
          <w:shd w:val="clear" w:color="auto" w:fill="FFFFFF"/>
        </w:rPr>
        <w:t xml:space="preserve"> adult (age 18 and over)</w:t>
      </w:r>
      <w:r w:rsidRPr="00960C48">
        <w:rPr>
          <w:rFonts w:ascii="Arial" w:eastAsia="Times New Roman" w:hAnsi="Arial" w:cs="Arial"/>
          <w:sz w:val="24"/>
          <w:szCs w:val="24"/>
          <w:bdr w:val="none" w:sz="0" w:space="0" w:color="auto" w:frame="1"/>
          <w:shd w:val="clear" w:color="auto" w:fill="FFFFFF"/>
        </w:rPr>
        <w:t xml:space="preserve"> </w:t>
      </w:r>
      <w:r w:rsidRPr="00B022FA">
        <w:rPr>
          <w:rFonts w:ascii="Arial" w:eastAsia="Times New Roman" w:hAnsi="Arial" w:cs="Arial"/>
          <w:sz w:val="24"/>
          <w:szCs w:val="24"/>
          <w:bdr w:val="none" w:sz="0" w:space="0" w:color="auto" w:frame="1"/>
          <w:shd w:val="clear" w:color="auto" w:fill="FFFFFF"/>
        </w:rPr>
        <w:t xml:space="preserve">Delaware residents </w:t>
      </w:r>
      <w:r w:rsidRPr="00960C48">
        <w:rPr>
          <w:rFonts w:ascii="Arial" w:eastAsia="Times New Roman" w:hAnsi="Arial" w:cs="Arial"/>
          <w:sz w:val="24"/>
          <w:szCs w:val="24"/>
          <w:bdr w:val="none" w:sz="0" w:space="0" w:color="auto" w:frame="1"/>
          <w:shd w:val="clear" w:color="auto" w:fill="FFFFFF"/>
        </w:rPr>
        <w:t>diagnosed with a S</w:t>
      </w:r>
      <w:r w:rsidRPr="00B022FA">
        <w:rPr>
          <w:rFonts w:ascii="Arial" w:eastAsia="Times New Roman" w:hAnsi="Arial" w:cs="Arial"/>
          <w:sz w:val="24"/>
          <w:szCs w:val="24"/>
          <w:bdr w:val="none" w:sz="0" w:space="0" w:color="auto" w:frame="1"/>
          <w:shd w:val="clear" w:color="auto" w:fill="FFFFFF"/>
        </w:rPr>
        <w:t>P</w:t>
      </w:r>
      <w:r w:rsidRPr="00960C48">
        <w:rPr>
          <w:rFonts w:ascii="Arial" w:eastAsia="Times New Roman" w:hAnsi="Arial" w:cs="Arial"/>
          <w:sz w:val="24"/>
          <w:szCs w:val="24"/>
          <w:bdr w:val="none" w:sz="0" w:space="0" w:color="auto" w:frame="1"/>
          <w:shd w:val="clear" w:color="auto" w:fill="FFFFFF"/>
        </w:rPr>
        <w:t xml:space="preserve">MI, enrolled </w:t>
      </w:r>
      <w:r w:rsidRPr="00B022FA">
        <w:rPr>
          <w:rFonts w:ascii="Arial" w:eastAsia="Times New Roman" w:hAnsi="Arial" w:cs="Arial"/>
          <w:sz w:val="24"/>
          <w:szCs w:val="24"/>
          <w:bdr w:val="none" w:sz="0" w:space="0" w:color="auto" w:frame="1"/>
          <w:shd w:val="clear" w:color="auto" w:fill="FFFFFF"/>
        </w:rPr>
        <w:t>in PROMISE</w:t>
      </w:r>
      <w:r w:rsidRPr="00960C48">
        <w:rPr>
          <w:rFonts w:ascii="Arial" w:eastAsia="Times New Roman" w:hAnsi="Arial" w:cs="Arial"/>
          <w:sz w:val="24"/>
          <w:szCs w:val="24"/>
          <w:bdr w:val="none" w:sz="0" w:space="0" w:color="auto" w:frame="1"/>
          <w:shd w:val="clear" w:color="auto" w:fill="FFFFFF"/>
        </w:rPr>
        <w:t xml:space="preserve"> (specifically Assertive Community Treatment</w:t>
      </w:r>
      <w:r w:rsidRPr="00B022FA">
        <w:rPr>
          <w:rFonts w:ascii="Arial" w:eastAsia="Times New Roman" w:hAnsi="Arial" w:cs="Arial"/>
          <w:sz w:val="24"/>
          <w:szCs w:val="24"/>
          <w:bdr w:val="none" w:sz="0" w:space="0" w:color="auto" w:frame="1"/>
          <w:shd w:val="clear" w:color="auto" w:fill="FFFFFF"/>
        </w:rPr>
        <w:t xml:space="preserve"> (ACT) and Intensive Case Management (ICM</w:t>
      </w:r>
      <w:r w:rsidRPr="00960C48">
        <w:rPr>
          <w:rFonts w:ascii="Arial" w:eastAsia="Times New Roman" w:hAnsi="Arial" w:cs="Arial"/>
          <w:sz w:val="24"/>
          <w:szCs w:val="24"/>
          <w:bdr w:val="none" w:sz="0" w:space="0" w:color="auto" w:frame="1"/>
          <w:shd w:val="clear" w:color="auto" w:fill="FFFFFF"/>
        </w:rPr>
        <w:t>), and deemed medically necessary for placement.</w:t>
      </w:r>
      <w:r w:rsidRPr="00B022FA">
        <w:rPr>
          <w:rFonts w:ascii="Arial" w:eastAsia="Times New Roman" w:hAnsi="Arial" w:cs="Arial"/>
          <w:sz w:val="24"/>
          <w:szCs w:val="24"/>
          <w:bdr w:val="none" w:sz="0" w:space="0" w:color="auto" w:frame="1"/>
          <w:shd w:val="clear" w:color="auto" w:fill="FFFFFF"/>
        </w:rPr>
        <w:t xml:space="preserve">  </w:t>
      </w:r>
      <w:r w:rsidRPr="00B51909">
        <w:rPr>
          <w:rFonts w:ascii="Arial" w:eastAsia="Times New Roman" w:hAnsi="Arial" w:cs="Arial"/>
          <w:sz w:val="24"/>
          <w:szCs w:val="24"/>
          <w:bdr w:val="none" w:sz="0" w:space="0" w:color="auto" w:frame="1"/>
          <w:shd w:val="clear" w:color="auto" w:fill="FFFFFF"/>
        </w:rPr>
        <w:t xml:space="preserve">Persons with active substance use should be assessed/referred to an alternative treatment program. </w:t>
      </w:r>
      <w:bookmarkEnd w:id="0"/>
      <w:r w:rsidRPr="00B51909">
        <w:rPr>
          <w:rFonts w:ascii="Arial" w:eastAsia="Times New Roman" w:hAnsi="Arial" w:cs="Arial"/>
          <w:sz w:val="24"/>
          <w:szCs w:val="24"/>
          <w:bdr w:val="none" w:sz="0" w:space="0" w:color="auto" w:frame="1"/>
          <w:shd w:val="clear" w:color="auto" w:fill="FFFFFF"/>
        </w:rPr>
        <w:t>If approved for SAP and pending entry into a unit, passing a criminal background may be required at the discretion of the landlord.</w:t>
      </w:r>
      <w:r w:rsidRPr="00B022FA">
        <w:rPr>
          <w:rFonts w:ascii="Arial" w:eastAsia="Times New Roman" w:hAnsi="Arial" w:cs="Arial"/>
          <w:sz w:val="24"/>
          <w:szCs w:val="24"/>
          <w:bdr w:val="none" w:sz="0" w:space="0" w:color="auto" w:frame="1"/>
          <w:shd w:val="clear" w:color="auto" w:fill="FFFFFF"/>
        </w:rPr>
        <w:t xml:space="preserve">  </w:t>
      </w:r>
      <w:r w:rsidRPr="00960C48">
        <w:rPr>
          <w:rFonts w:ascii="Arial" w:eastAsia="Times New Roman" w:hAnsi="Arial" w:cs="Arial"/>
          <w:sz w:val="24"/>
          <w:szCs w:val="24"/>
          <w:bdr w:val="none" w:sz="0" w:space="0" w:color="auto" w:frame="1"/>
          <w:shd w:val="clear" w:color="auto" w:fill="FFFFFF"/>
        </w:rPr>
        <w:t xml:space="preserve">Collaborative partners are </w:t>
      </w:r>
      <w:r w:rsidRPr="00B022FA">
        <w:rPr>
          <w:rFonts w:ascii="Arial" w:eastAsia="Times New Roman" w:hAnsi="Arial" w:cs="Arial"/>
          <w:sz w:val="24"/>
          <w:szCs w:val="24"/>
          <w:bdr w:val="none" w:sz="0" w:space="0" w:color="auto" w:frame="1"/>
          <w:shd w:val="clear" w:color="auto" w:fill="FFFFFF"/>
        </w:rPr>
        <w:t xml:space="preserve">DSAMH contracted </w:t>
      </w:r>
      <w:r w:rsidRPr="00960C48">
        <w:rPr>
          <w:rFonts w:ascii="Arial" w:eastAsia="Times New Roman" w:hAnsi="Arial" w:cs="Arial"/>
          <w:sz w:val="24"/>
          <w:szCs w:val="24"/>
          <w:bdr w:val="none" w:sz="0" w:space="0" w:color="auto" w:frame="1"/>
          <w:shd w:val="clear" w:color="auto" w:fill="FFFFFF"/>
        </w:rPr>
        <w:t>ACT Team</w:t>
      </w:r>
      <w:r w:rsidRPr="00B022FA">
        <w:rPr>
          <w:rFonts w:ascii="Arial" w:eastAsia="Times New Roman" w:hAnsi="Arial" w:cs="Arial"/>
          <w:sz w:val="24"/>
          <w:szCs w:val="24"/>
          <w:bdr w:val="none" w:sz="0" w:space="0" w:color="auto" w:frame="1"/>
          <w:shd w:val="clear" w:color="auto" w:fill="FFFFFF"/>
        </w:rPr>
        <w:t>s; DSAMH contracted SAP Peer Support provider</w:t>
      </w:r>
      <w:r w:rsidRPr="00960C48">
        <w:rPr>
          <w:rFonts w:ascii="Arial" w:eastAsia="Times New Roman" w:hAnsi="Arial" w:cs="Arial"/>
          <w:sz w:val="24"/>
          <w:szCs w:val="24"/>
          <w:bdr w:val="none" w:sz="0" w:space="0" w:color="auto" w:frame="1"/>
          <w:shd w:val="clear" w:color="auto" w:fill="FFFFFF"/>
        </w:rPr>
        <w:t xml:space="preserve">, </w:t>
      </w:r>
      <w:r w:rsidRPr="00B022FA">
        <w:rPr>
          <w:rFonts w:ascii="Arial" w:eastAsia="Times New Roman" w:hAnsi="Arial" w:cs="Arial"/>
          <w:sz w:val="24"/>
          <w:szCs w:val="24"/>
          <w:bdr w:val="none" w:sz="0" w:space="0" w:color="auto" w:frame="1"/>
          <w:shd w:val="clear" w:color="auto" w:fill="FFFFFF"/>
        </w:rPr>
        <w:t>Master Lease Vendor</w:t>
      </w:r>
      <w:r w:rsidRPr="00960C48">
        <w:rPr>
          <w:rFonts w:ascii="Arial" w:eastAsia="Times New Roman" w:hAnsi="Arial" w:cs="Arial"/>
          <w:sz w:val="24"/>
          <w:szCs w:val="24"/>
          <w:bdr w:val="none" w:sz="0" w:space="0" w:color="auto" w:frame="1"/>
          <w:shd w:val="clear" w:color="auto" w:fill="FFFFFF"/>
        </w:rPr>
        <w:t xml:space="preserve">, </w:t>
      </w:r>
      <w:r w:rsidRPr="00B022FA">
        <w:rPr>
          <w:rFonts w:ascii="Arial" w:eastAsia="Times New Roman" w:hAnsi="Arial" w:cs="Arial"/>
          <w:sz w:val="24"/>
          <w:szCs w:val="24"/>
          <w:bdr w:val="none" w:sz="0" w:space="0" w:color="auto" w:frame="1"/>
          <w:shd w:val="clear" w:color="auto" w:fill="FFFFFF"/>
        </w:rPr>
        <w:t>and designated DSAMH Project Leads that include staff from PROMISE and Social Determinants</w:t>
      </w:r>
      <w:r w:rsidRPr="00960C48">
        <w:rPr>
          <w:rFonts w:ascii="Arial" w:eastAsia="Times New Roman" w:hAnsi="Arial" w:cs="Arial"/>
          <w:sz w:val="24"/>
          <w:szCs w:val="24"/>
          <w:bdr w:val="none" w:sz="0" w:space="0" w:color="auto" w:frame="1"/>
          <w:shd w:val="clear" w:color="auto" w:fill="FFFFFF"/>
        </w:rPr>
        <w:t>.</w:t>
      </w:r>
      <w:r w:rsidRPr="00B022FA">
        <w:rPr>
          <w:rFonts w:ascii="Arial" w:eastAsia="Times New Roman" w:hAnsi="Arial" w:cs="Arial"/>
          <w:sz w:val="24"/>
          <w:szCs w:val="24"/>
          <w:bdr w:val="none" w:sz="0" w:space="0" w:color="auto" w:frame="1"/>
          <w:shd w:val="clear" w:color="auto" w:fill="FFFFFF"/>
        </w:rPr>
        <w:t xml:space="preserve"> </w:t>
      </w:r>
    </w:p>
    <w:p w14:paraId="4C502A50" w14:textId="77777777" w:rsidR="00A653AA" w:rsidRPr="00B022FA" w:rsidRDefault="00A653AA" w:rsidP="00A653AA">
      <w:pPr>
        <w:spacing w:after="0" w:line="240" w:lineRule="auto"/>
        <w:textAlignment w:val="baseline"/>
        <w:rPr>
          <w:rFonts w:ascii="Arial" w:eastAsia="Times New Roman" w:hAnsi="Arial" w:cs="Arial"/>
          <w:sz w:val="24"/>
          <w:szCs w:val="24"/>
          <w:bdr w:val="none" w:sz="0" w:space="0" w:color="auto" w:frame="1"/>
          <w:shd w:val="clear" w:color="auto" w:fill="FFFFFF"/>
        </w:rPr>
      </w:pPr>
    </w:p>
    <w:p w14:paraId="3A74165B" w14:textId="77777777" w:rsidR="00A653AA" w:rsidRPr="00B022FA" w:rsidRDefault="00A653AA" w:rsidP="00A653AA">
      <w:pPr>
        <w:spacing w:after="0"/>
        <w:rPr>
          <w:rFonts w:ascii="Arial" w:eastAsia="Times New Roman" w:hAnsi="Arial" w:cs="Arial"/>
          <w:sz w:val="24"/>
          <w:szCs w:val="24"/>
          <w:u w:val="single"/>
        </w:rPr>
      </w:pPr>
      <w:r w:rsidRPr="00B022FA">
        <w:rPr>
          <w:rFonts w:ascii="Arial" w:eastAsia="Times New Roman" w:hAnsi="Arial" w:cs="Arial"/>
          <w:sz w:val="24"/>
          <w:szCs w:val="24"/>
          <w:u w:val="single"/>
        </w:rPr>
        <w:t>Supported Housing Program (SHP)</w:t>
      </w:r>
    </w:p>
    <w:p w14:paraId="128A6BFD" w14:textId="77777777" w:rsidR="00A653AA" w:rsidRPr="001B1565" w:rsidRDefault="00A653AA" w:rsidP="00A653AA">
      <w:pPr>
        <w:spacing w:after="0"/>
        <w:rPr>
          <w:rFonts w:ascii="Arial" w:eastAsia="Times New Roman" w:hAnsi="Arial" w:cs="Arial"/>
          <w:sz w:val="24"/>
          <w:szCs w:val="24"/>
        </w:rPr>
      </w:pPr>
      <w:r w:rsidRPr="00B022FA">
        <w:rPr>
          <w:rFonts w:ascii="Arial" w:eastAsia="Times New Roman" w:hAnsi="Arial" w:cs="Arial"/>
          <w:sz w:val="24"/>
          <w:szCs w:val="24"/>
        </w:rPr>
        <w:t xml:space="preserve">The </w:t>
      </w:r>
      <w:r w:rsidRPr="001B1565">
        <w:rPr>
          <w:rFonts w:ascii="Arial" w:eastAsia="Times New Roman" w:hAnsi="Arial" w:cs="Arial"/>
          <w:sz w:val="24"/>
          <w:szCs w:val="24"/>
        </w:rPr>
        <w:t>Supportive Housing Program provide</w:t>
      </w:r>
      <w:r w:rsidRPr="00B022FA">
        <w:rPr>
          <w:rFonts w:ascii="Arial" w:eastAsia="Times New Roman" w:hAnsi="Arial" w:cs="Arial"/>
          <w:sz w:val="24"/>
          <w:szCs w:val="24"/>
        </w:rPr>
        <w:t>s</w:t>
      </w:r>
      <w:r w:rsidRPr="001B1565">
        <w:rPr>
          <w:rFonts w:ascii="Arial" w:eastAsia="Times New Roman" w:hAnsi="Arial" w:cs="Arial"/>
          <w:sz w:val="24"/>
          <w:szCs w:val="24"/>
        </w:rPr>
        <w:t xml:space="preserve"> affordable</w:t>
      </w:r>
      <w:r w:rsidRPr="00B022FA">
        <w:rPr>
          <w:rFonts w:ascii="Arial" w:eastAsia="Times New Roman" w:hAnsi="Arial" w:cs="Arial"/>
          <w:sz w:val="24"/>
          <w:szCs w:val="24"/>
        </w:rPr>
        <w:t>, statewide</w:t>
      </w:r>
      <w:r w:rsidRPr="001B1565">
        <w:rPr>
          <w:rFonts w:ascii="Arial" w:eastAsia="Times New Roman" w:hAnsi="Arial" w:cs="Arial"/>
          <w:sz w:val="24"/>
          <w:szCs w:val="24"/>
        </w:rPr>
        <w:t xml:space="preserve">, stable housing combined with coordinated support services for individuals who face barriers to independent living. </w:t>
      </w:r>
      <w:r w:rsidRPr="00960C48">
        <w:rPr>
          <w:rFonts w:ascii="Arial" w:eastAsia="Times New Roman" w:hAnsi="Arial" w:cs="Arial"/>
          <w:sz w:val="24"/>
          <w:szCs w:val="24"/>
        </w:rPr>
        <w:t>Eligibility includes</w:t>
      </w:r>
      <w:r w:rsidRPr="00B022FA">
        <w:rPr>
          <w:rFonts w:ascii="Arial" w:eastAsia="Times New Roman" w:hAnsi="Arial" w:cs="Arial"/>
          <w:sz w:val="24"/>
          <w:szCs w:val="24"/>
        </w:rPr>
        <w:t xml:space="preserve"> adult (age 18 and over)</w:t>
      </w:r>
      <w:r w:rsidRPr="00960C48">
        <w:rPr>
          <w:rFonts w:ascii="Arial" w:eastAsia="Times New Roman" w:hAnsi="Arial" w:cs="Arial"/>
          <w:sz w:val="24"/>
          <w:szCs w:val="24"/>
        </w:rPr>
        <w:t xml:space="preserve"> </w:t>
      </w:r>
      <w:r w:rsidRPr="00B022FA">
        <w:rPr>
          <w:rFonts w:ascii="Arial" w:eastAsia="Times New Roman" w:hAnsi="Arial" w:cs="Arial"/>
          <w:sz w:val="24"/>
          <w:szCs w:val="24"/>
        </w:rPr>
        <w:t xml:space="preserve">Delaware residents </w:t>
      </w:r>
      <w:r w:rsidRPr="00960C48">
        <w:rPr>
          <w:rFonts w:ascii="Arial" w:eastAsia="Times New Roman" w:hAnsi="Arial" w:cs="Arial"/>
          <w:sz w:val="24"/>
          <w:szCs w:val="24"/>
        </w:rPr>
        <w:t>diagnosed with a S</w:t>
      </w:r>
      <w:r w:rsidRPr="00B022FA">
        <w:rPr>
          <w:rFonts w:ascii="Arial" w:eastAsia="Times New Roman" w:hAnsi="Arial" w:cs="Arial"/>
          <w:sz w:val="24"/>
          <w:szCs w:val="24"/>
        </w:rPr>
        <w:t>P</w:t>
      </w:r>
      <w:r w:rsidRPr="00960C48">
        <w:rPr>
          <w:rFonts w:ascii="Arial" w:eastAsia="Times New Roman" w:hAnsi="Arial" w:cs="Arial"/>
          <w:sz w:val="24"/>
          <w:szCs w:val="24"/>
        </w:rPr>
        <w:t xml:space="preserve">MI, </w:t>
      </w:r>
      <w:r w:rsidRPr="00B022FA">
        <w:rPr>
          <w:rFonts w:ascii="Arial" w:eastAsia="Times New Roman" w:hAnsi="Arial" w:cs="Arial"/>
          <w:sz w:val="24"/>
          <w:szCs w:val="24"/>
        </w:rPr>
        <w:t xml:space="preserve">typically </w:t>
      </w:r>
      <w:r w:rsidRPr="00960C48">
        <w:rPr>
          <w:rFonts w:ascii="Arial" w:eastAsia="Times New Roman" w:hAnsi="Arial" w:cs="Arial"/>
          <w:sz w:val="24"/>
          <w:szCs w:val="24"/>
        </w:rPr>
        <w:t>enrolled in PROMISE</w:t>
      </w:r>
      <w:r w:rsidRPr="00B022FA">
        <w:rPr>
          <w:rFonts w:ascii="Arial" w:eastAsia="Times New Roman" w:hAnsi="Arial" w:cs="Arial"/>
          <w:sz w:val="24"/>
          <w:szCs w:val="24"/>
        </w:rPr>
        <w:t xml:space="preserve"> services and not deemed medically necessary for SAP placement). </w:t>
      </w:r>
      <w:r w:rsidRPr="001B1565">
        <w:rPr>
          <w:rFonts w:ascii="Arial" w:eastAsia="Times New Roman" w:hAnsi="Arial" w:cs="Arial"/>
          <w:sz w:val="24"/>
          <w:szCs w:val="24"/>
        </w:rPr>
        <w:t xml:space="preserve">By integrating housing with essential services such as case management, health care, life skills training, and employment assistance the program helps </w:t>
      </w:r>
      <w:r w:rsidRPr="00B022FA">
        <w:rPr>
          <w:rFonts w:ascii="Arial" w:eastAsia="Times New Roman" w:hAnsi="Arial" w:cs="Arial"/>
          <w:sz w:val="24"/>
          <w:szCs w:val="24"/>
        </w:rPr>
        <w:t>clients/tenants</w:t>
      </w:r>
      <w:r w:rsidRPr="001B1565">
        <w:rPr>
          <w:rFonts w:ascii="Arial" w:eastAsia="Times New Roman" w:hAnsi="Arial" w:cs="Arial"/>
          <w:sz w:val="24"/>
          <w:szCs w:val="24"/>
        </w:rPr>
        <w:t xml:space="preserve"> achieve housing stability, self-sufficiency, and an improved quality of life.</w:t>
      </w:r>
      <w:r w:rsidRPr="00B022FA">
        <w:rPr>
          <w:rFonts w:ascii="Arial" w:eastAsia="Times New Roman" w:hAnsi="Arial" w:cs="Arial"/>
          <w:sz w:val="24"/>
          <w:szCs w:val="24"/>
        </w:rPr>
        <w:t xml:space="preserve">  </w:t>
      </w:r>
      <w:r w:rsidRPr="001B1565">
        <w:rPr>
          <w:rFonts w:ascii="Arial" w:eastAsia="Times New Roman" w:hAnsi="Arial" w:cs="Arial"/>
          <w:sz w:val="24"/>
          <w:szCs w:val="24"/>
        </w:rPr>
        <w:t xml:space="preserve">Key </w:t>
      </w:r>
      <w:r w:rsidRPr="00B022FA">
        <w:rPr>
          <w:rFonts w:ascii="Arial" w:eastAsia="Times New Roman" w:hAnsi="Arial" w:cs="Arial"/>
          <w:sz w:val="24"/>
          <w:szCs w:val="24"/>
        </w:rPr>
        <w:t>p</w:t>
      </w:r>
      <w:r w:rsidRPr="001B1565">
        <w:rPr>
          <w:rFonts w:ascii="Arial" w:eastAsia="Times New Roman" w:hAnsi="Arial" w:cs="Arial"/>
          <w:sz w:val="24"/>
          <w:szCs w:val="24"/>
        </w:rPr>
        <w:t xml:space="preserve">rogram </w:t>
      </w:r>
      <w:r w:rsidRPr="00B022FA">
        <w:rPr>
          <w:rFonts w:ascii="Arial" w:eastAsia="Times New Roman" w:hAnsi="Arial" w:cs="Arial"/>
          <w:sz w:val="24"/>
          <w:szCs w:val="24"/>
        </w:rPr>
        <w:t>f</w:t>
      </w:r>
      <w:r w:rsidRPr="001B1565">
        <w:rPr>
          <w:rFonts w:ascii="Arial" w:eastAsia="Times New Roman" w:hAnsi="Arial" w:cs="Arial"/>
          <w:sz w:val="24"/>
          <w:szCs w:val="24"/>
        </w:rPr>
        <w:t>eatures</w:t>
      </w:r>
      <w:r w:rsidRPr="00B022FA">
        <w:rPr>
          <w:rFonts w:ascii="Arial" w:eastAsia="Times New Roman" w:hAnsi="Arial" w:cs="Arial"/>
          <w:sz w:val="24"/>
          <w:szCs w:val="24"/>
        </w:rPr>
        <w:t xml:space="preserve"> include</w:t>
      </w:r>
      <w:r w:rsidRPr="001B1565">
        <w:rPr>
          <w:rFonts w:ascii="Arial" w:eastAsia="Times New Roman" w:hAnsi="Arial" w:cs="Arial"/>
          <w:sz w:val="24"/>
          <w:szCs w:val="24"/>
        </w:rPr>
        <w:t>:</w:t>
      </w:r>
    </w:p>
    <w:p w14:paraId="635D94F6" w14:textId="77777777" w:rsidR="00A653AA" w:rsidRPr="001B1565" w:rsidRDefault="00A653AA" w:rsidP="00A653AA">
      <w:pPr>
        <w:numPr>
          <w:ilvl w:val="0"/>
          <w:numId w:val="23"/>
        </w:numPr>
        <w:spacing w:after="0"/>
        <w:rPr>
          <w:rFonts w:ascii="Arial" w:eastAsia="Times New Roman" w:hAnsi="Arial" w:cs="Arial"/>
          <w:sz w:val="24"/>
          <w:szCs w:val="24"/>
        </w:rPr>
      </w:pPr>
      <w:r w:rsidRPr="001B1565">
        <w:rPr>
          <w:rFonts w:ascii="Arial" w:eastAsia="Times New Roman" w:hAnsi="Arial" w:cs="Arial"/>
          <w:sz w:val="24"/>
          <w:szCs w:val="24"/>
        </w:rPr>
        <w:t>Permanent Housing: </w:t>
      </w:r>
      <w:r w:rsidRPr="00B022FA">
        <w:rPr>
          <w:rFonts w:ascii="Arial" w:eastAsia="Times New Roman" w:hAnsi="Arial" w:cs="Arial"/>
          <w:sz w:val="24"/>
          <w:szCs w:val="24"/>
        </w:rPr>
        <w:t>clients</w:t>
      </w:r>
      <w:r w:rsidRPr="001B1565">
        <w:rPr>
          <w:rFonts w:ascii="Arial" w:eastAsia="Times New Roman" w:hAnsi="Arial" w:cs="Arial"/>
          <w:sz w:val="24"/>
          <w:szCs w:val="24"/>
        </w:rPr>
        <w:t xml:space="preserve"> hold standard leases and maintain the same rights and responsibilities as in conventional housing.</w:t>
      </w:r>
    </w:p>
    <w:p w14:paraId="18288938" w14:textId="77777777" w:rsidR="00A653AA" w:rsidRPr="00B022FA" w:rsidRDefault="00A653AA" w:rsidP="00A653AA">
      <w:pPr>
        <w:numPr>
          <w:ilvl w:val="0"/>
          <w:numId w:val="23"/>
        </w:numPr>
        <w:spacing w:after="0"/>
        <w:rPr>
          <w:rFonts w:ascii="Arial" w:eastAsia="Times New Roman" w:hAnsi="Arial" w:cs="Arial"/>
          <w:sz w:val="24"/>
          <w:szCs w:val="24"/>
        </w:rPr>
      </w:pPr>
      <w:r w:rsidRPr="001B1565">
        <w:rPr>
          <w:rFonts w:ascii="Arial" w:eastAsia="Times New Roman" w:hAnsi="Arial" w:cs="Arial"/>
          <w:sz w:val="24"/>
          <w:szCs w:val="24"/>
        </w:rPr>
        <w:t>Supportive Services: </w:t>
      </w:r>
      <w:r w:rsidRPr="00B022FA">
        <w:rPr>
          <w:rFonts w:ascii="Arial" w:eastAsia="Times New Roman" w:hAnsi="Arial" w:cs="Arial"/>
          <w:sz w:val="24"/>
          <w:szCs w:val="24"/>
        </w:rPr>
        <w:t>clients</w:t>
      </w:r>
      <w:r w:rsidRPr="001B1565">
        <w:rPr>
          <w:rFonts w:ascii="Arial" w:eastAsia="Times New Roman" w:hAnsi="Arial" w:cs="Arial"/>
          <w:sz w:val="24"/>
          <w:szCs w:val="24"/>
        </w:rPr>
        <w:t xml:space="preserve"> have access to individualized services that address physical health, behavioral health, and social needs.</w:t>
      </w:r>
    </w:p>
    <w:p w14:paraId="6624F9BD" w14:textId="77777777" w:rsidR="00A653AA" w:rsidRPr="00B022FA" w:rsidRDefault="00A653AA" w:rsidP="00A653AA">
      <w:pPr>
        <w:spacing w:after="0"/>
        <w:ind w:left="720"/>
        <w:rPr>
          <w:rFonts w:ascii="Arial" w:eastAsia="Times New Roman" w:hAnsi="Arial" w:cs="Arial"/>
          <w:sz w:val="24"/>
          <w:szCs w:val="24"/>
        </w:rPr>
      </w:pPr>
    </w:p>
    <w:p w14:paraId="338DC40B" w14:textId="77777777" w:rsidR="00A653AA" w:rsidRPr="001B1565" w:rsidRDefault="00A653AA" w:rsidP="00A653AA">
      <w:pPr>
        <w:spacing w:after="0"/>
        <w:rPr>
          <w:rFonts w:ascii="Arial" w:eastAsia="Times New Roman" w:hAnsi="Arial" w:cs="Arial"/>
          <w:color w:val="C00000"/>
          <w:sz w:val="24"/>
          <w:szCs w:val="24"/>
        </w:rPr>
      </w:pPr>
      <w:r w:rsidRPr="00A63B8E">
        <w:rPr>
          <w:rFonts w:ascii="Arial" w:eastAsia="Times New Roman" w:hAnsi="Arial" w:cs="Arial"/>
          <w:color w:val="C00000"/>
          <w:sz w:val="24"/>
          <w:szCs w:val="24"/>
        </w:rPr>
        <w:t>*As of SFY 2026, DSAMH is no longer accepting new referrals for SHP.  Existing clients can continue to receive services as long as they remain compliant to master lease requirements.  Clients will be offered transition to State Rental Assistance Program as appropriate.</w:t>
      </w:r>
    </w:p>
    <w:p w14:paraId="60A6A18D" w14:textId="77777777" w:rsidR="00A653AA" w:rsidRPr="00B022FA" w:rsidRDefault="00A653AA" w:rsidP="00A653AA">
      <w:pPr>
        <w:spacing w:after="0"/>
        <w:rPr>
          <w:rFonts w:ascii="Arial" w:eastAsia="Times New Roman" w:hAnsi="Arial" w:cs="Arial"/>
          <w:sz w:val="24"/>
          <w:szCs w:val="24"/>
        </w:rPr>
      </w:pPr>
    </w:p>
    <w:p w14:paraId="739089F7" w14:textId="77777777" w:rsidR="00A653AA" w:rsidRPr="00B022FA" w:rsidRDefault="00A653AA" w:rsidP="00A653AA">
      <w:pPr>
        <w:spacing w:after="0"/>
        <w:rPr>
          <w:rFonts w:ascii="Arial" w:eastAsia="Times New Roman" w:hAnsi="Arial" w:cs="Arial"/>
          <w:sz w:val="24"/>
          <w:szCs w:val="24"/>
          <w:u w:val="single"/>
        </w:rPr>
      </w:pPr>
      <w:r w:rsidRPr="00B022FA">
        <w:rPr>
          <w:rFonts w:ascii="Arial" w:eastAsia="Times New Roman" w:hAnsi="Arial" w:cs="Arial"/>
          <w:sz w:val="24"/>
          <w:szCs w:val="24"/>
          <w:u w:val="single"/>
        </w:rPr>
        <w:t xml:space="preserve">Transitional Case Management Bed Program (TCM) </w:t>
      </w:r>
    </w:p>
    <w:p w14:paraId="0B09D094" w14:textId="77777777" w:rsidR="00A653AA" w:rsidRPr="00B022FA" w:rsidRDefault="00A653AA" w:rsidP="00A653AA">
      <w:pPr>
        <w:spacing w:after="0"/>
        <w:rPr>
          <w:rFonts w:ascii="Arial" w:hAnsi="Arial" w:cs="Arial"/>
          <w:bCs/>
          <w:sz w:val="24"/>
          <w:szCs w:val="24"/>
        </w:rPr>
      </w:pPr>
      <w:r w:rsidRPr="00DA4E42">
        <w:rPr>
          <w:rFonts w:ascii="Arial" w:hAnsi="Arial" w:cs="Arial"/>
          <w:bCs/>
          <w:sz w:val="24"/>
          <w:szCs w:val="24"/>
        </w:rPr>
        <w:t xml:space="preserve">The </w:t>
      </w:r>
      <w:r w:rsidRPr="00B022FA">
        <w:rPr>
          <w:rFonts w:ascii="Arial" w:hAnsi="Arial" w:cs="Arial"/>
          <w:bCs/>
          <w:sz w:val="24"/>
          <w:szCs w:val="24"/>
        </w:rPr>
        <w:t xml:space="preserve">Transitional Case Management Program </w:t>
      </w:r>
      <w:r w:rsidRPr="00DA4E42">
        <w:rPr>
          <w:rFonts w:ascii="Arial" w:hAnsi="Arial" w:cs="Arial"/>
          <w:bCs/>
          <w:sz w:val="24"/>
          <w:szCs w:val="24"/>
        </w:rPr>
        <w:t xml:space="preserve">(TCM) and the TCM Transitional Bed Program are funded by and operated through DSAMH. </w:t>
      </w:r>
      <w:r w:rsidRPr="00B022FA">
        <w:rPr>
          <w:rFonts w:ascii="Arial" w:hAnsi="Arial" w:cs="Arial"/>
          <w:bCs/>
          <w:sz w:val="24"/>
          <w:szCs w:val="24"/>
        </w:rPr>
        <w:t xml:space="preserve"> TCM provides individualized case management, temporary housing, and resource coordination to behavioral health treatment and recovery support services.   TCM serves adult (18 years or older) Delaware residents with SPMI (including co-occurring substance use disorder in early remission) with presence of functional deficits.  Priority placement is provided to individuals exiting Delaware Psychiatric Center or </w:t>
      </w:r>
      <w:r w:rsidRPr="00B022FA">
        <w:rPr>
          <w:rFonts w:ascii="Arial" w:hAnsi="Arial" w:cs="Arial"/>
          <w:bCs/>
          <w:sz w:val="24"/>
          <w:szCs w:val="24"/>
        </w:rPr>
        <w:lastRenderedPageBreak/>
        <w:t xml:space="preserve">another Delaware acute psychiatric hospital (Institute of Mental Disease).  Some criminal charges are prohibited (i.e., sex offenses; arson).  </w:t>
      </w:r>
      <w:r w:rsidRPr="00DA4E42">
        <w:rPr>
          <w:rFonts w:ascii="Arial" w:hAnsi="Arial" w:cs="Arial"/>
          <w:bCs/>
          <w:sz w:val="24"/>
          <w:szCs w:val="24"/>
        </w:rPr>
        <w:t xml:space="preserve">TCM maintains individuals outside of </w:t>
      </w:r>
      <w:r w:rsidRPr="00B022FA">
        <w:rPr>
          <w:rFonts w:ascii="Arial" w:hAnsi="Arial" w:cs="Arial"/>
          <w:bCs/>
          <w:sz w:val="24"/>
          <w:szCs w:val="24"/>
        </w:rPr>
        <w:t xml:space="preserve">the </w:t>
      </w:r>
      <w:r w:rsidRPr="00DA4E42">
        <w:rPr>
          <w:rFonts w:ascii="Arial" w:hAnsi="Arial" w:cs="Arial"/>
          <w:bCs/>
          <w:sz w:val="24"/>
          <w:szCs w:val="24"/>
        </w:rPr>
        <w:t>transitional housing aspect of the program</w:t>
      </w:r>
      <w:r w:rsidRPr="00B022FA">
        <w:rPr>
          <w:rFonts w:ascii="Arial" w:hAnsi="Arial" w:cs="Arial"/>
          <w:bCs/>
          <w:sz w:val="24"/>
          <w:szCs w:val="24"/>
        </w:rPr>
        <w:t xml:space="preserve"> (those not connected to PROMISE services)</w:t>
      </w:r>
      <w:r w:rsidRPr="00DA4E42">
        <w:rPr>
          <w:rFonts w:ascii="Arial" w:hAnsi="Arial" w:cs="Arial"/>
          <w:bCs/>
          <w:sz w:val="24"/>
          <w:szCs w:val="24"/>
        </w:rPr>
        <w:t>, until they are appropriately connected to resources</w:t>
      </w:r>
      <w:r w:rsidRPr="00B022FA">
        <w:rPr>
          <w:rFonts w:ascii="Arial" w:hAnsi="Arial" w:cs="Arial"/>
          <w:bCs/>
          <w:sz w:val="24"/>
          <w:szCs w:val="24"/>
        </w:rPr>
        <w:t xml:space="preserve"> and determined by the client’s person-centered care plan</w:t>
      </w:r>
      <w:r w:rsidRPr="00DA4E42">
        <w:rPr>
          <w:rFonts w:ascii="Arial" w:hAnsi="Arial" w:cs="Arial"/>
          <w:bCs/>
          <w:sz w:val="24"/>
          <w:szCs w:val="24"/>
        </w:rPr>
        <w:t>.</w:t>
      </w:r>
    </w:p>
    <w:p w14:paraId="12937D62" w14:textId="77777777" w:rsidR="00A653AA" w:rsidRPr="00B022FA" w:rsidRDefault="00A653AA" w:rsidP="00A653AA">
      <w:pPr>
        <w:spacing w:after="0"/>
        <w:rPr>
          <w:rFonts w:ascii="Arial" w:hAnsi="Arial" w:cs="Arial"/>
          <w:bCs/>
          <w:sz w:val="24"/>
          <w:szCs w:val="24"/>
        </w:rPr>
      </w:pPr>
    </w:p>
    <w:p w14:paraId="42043ED7" w14:textId="77777777" w:rsidR="00A653AA" w:rsidRPr="00B022FA" w:rsidRDefault="00A653AA" w:rsidP="00A653AA">
      <w:pPr>
        <w:spacing w:after="0"/>
        <w:rPr>
          <w:rFonts w:ascii="Arial" w:hAnsi="Arial" w:cs="Arial"/>
          <w:b/>
          <w:sz w:val="24"/>
          <w:szCs w:val="24"/>
          <w:u w:val="single"/>
        </w:rPr>
      </w:pPr>
      <w:r w:rsidRPr="00B022FA">
        <w:rPr>
          <w:rFonts w:ascii="Arial" w:hAnsi="Arial" w:cs="Arial"/>
          <w:b/>
          <w:sz w:val="24"/>
          <w:szCs w:val="24"/>
          <w:u w:val="single"/>
        </w:rPr>
        <w:t>Service Functions</w:t>
      </w:r>
    </w:p>
    <w:p w14:paraId="37EBA2A9" w14:textId="77777777" w:rsidR="00A653AA" w:rsidRPr="00BE048B" w:rsidRDefault="00A653AA" w:rsidP="00A653AA">
      <w:pPr>
        <w:spacing w:after="0"/>
        <w:rPr>
          <w:rFonts w:ascii="Arial" w:hAnsi="Arial" w:cs="Arial"/>
          <w:sz w:val="24"/>
          <w:szCs w:val="24"/>
        </w:rPr>
      </w:pPr>
      <w:r w:rsidRPr="00B022FA">
        <w:rPr>
          <w:rFonts w:ascii="Arial" w:hAnsi="Arial" w:cs="Arial"/>
          <w:bCs/>
          <w:sz w:val="24"/>
          <w:szCs w:val="24"/>
        </w:rPr>
        <w:t xml:space="preserve">A master lease is an agreement where a single tenant, the master lessee (vendor), leases an entire property from the owner(s) (master lessor-various landlords).  The master lessee may then sublease individual units to subtenants.  A master lease is used with various housing interventions when an organization does not own the property but needs to secure housing units quickly and maintain control over tenant selection, property management, and service coordination. </w:t>
      </w:r>
      <w:r w:rsidRPr="00BE048B">
        <w:rPr>
          <w:rFonts w:ascii="Arial" w:hAnsi="Arial" w:cs="Arial"/>
          <w:sz w:val="24"/>
          <w:szCs w:val="24"/>
        </w:rPr>
        <w:t>Common reasons to use a master lease include:</w:t>
      </w:r>
    </w:p>
    <w:p w14:paraId="65CBFE17" w14:textId="77777777" w:rsidR="00A653AA" w:rsidRPr="00BE048B" w:rsidRDefault="00A653AA" w:rsidP="00A653AA">
      <w:pPr>
        <w:numPr>
          <w:ilvl w:val="0"/>
          <w:numId w:val="22"/>
        </w:numPr>
        <w:spacing w:after="0"/>
        <w:rPr>
          <w:rFonts w:ascii="Arial" w:hAnsi="Arial" w:cs="Arial"/>
          <w:sz w:val="24"/>
          <w:szCs w:val="24"/>
        </w:rPr>
      </w:pPr>
      <w:r w:rsidRPr="00BE048B">
        <w:rPr>
          <w:rFonts w:ascii="Arial" w:hAnsi="Arial" w:cs="Arial"/>
          <w:sz w:val="24"/>
          <w:szCs w:val="24"/>
        </w:rPr>
        <w:t>Expa</w:t>
      </w:r>
      <w:r w:rsidRPr="00B022FA">
        <w:rPr>
          <w:rFonts w:ascii="Arial" w:hAnsi="Arial" w:cs="Arial"/>
          <w:sz w:val="24"/>
          <w:szCs w:val="24"/>
        </w:rPr>
        <w:t>nsion of</w:t>
      </w:r>
      <w:r w:rsidRPr="00BE048B">
        <w:rPr>
          <w:rFonts w:ascii="Arial" w:hAnsi="Arial" w:cs="Arial"/>
          <w:sz w:val="24"/>
          <w:szCs w:val="24"/>
        </w:rPr>
        <w:t xml:space="preserve"> housing capacity</w:t>
      </w:r>
      <w:r w:rsidRPr="00B022FA">
        <w:rPr>
          <w:rFonts w:ascii="Arial" w:hAnsi="Arial" w:cs="Arial"/>
          <w:sz w:val="24"/>
          <w:szCs w:val="24"/>
        </w:rPr>
        <w:t>-e</w:t>
      </w:r>
      <w:r w:rsidRPr="00BE048B">
        <w:rPr>
          <w:rFonts w:ascii="Arial" w:hAnsi="Arial" w:cs="Arial"/>
          <w:sz w:val="24"/>
          <w:szCs w:val="24"/>
        </w:rPr>
        <w:t xml:space="preserve">nables </w:t>
      </w:r>
      <w:r w:rsidRPr="00B022FA">
        <w:rPr>
          <w:rFonts w:ascii="Arial" w:hAnsi="Arial" w:cs="Arial"/>
          <w:sz w:val="24"/>
          <w:szCs w:val="24"/>
        </w:rPr>
        <w:t>vendors</w:t>
      </w:r>
      <w:r w:rsidRPr="00BE048B">
        <w:rPr>
          <w:rFonts w:ascii="Arial" w:hAnsi="Arial" w:cs="Arial"/>
          <w:sz w:val="24"/>
          <w:szCs w:val="24"/>
        </w:rPr>
        <w:t xml:space="preserve"> to lease multiple units or entire buildings from private landlords for program </w:t>
      </w:r>
      <w:r w:rsidRPr="00B022FA">
        <w:rPr>
          <w:rFonts w:ascii="Arial" w:hAnsi="Arial" w:cs="Arial"/>
          <w:sz w:val="24"/>
          <w:szCs w:val="24"/>
        </w:rPr>
        <w:t>clients</w:t>
      </w:r>
      <w:r w:rsidRPr="00BE048B">
        <w:rPr>
          <w:rFonts w:ascii="Arial" w:hAnsi="Arial" w:cs="Arial"/>
          <w:sz w:val="24"/>
          <w:szCs w:val="24"/>
        </w:rPr>
        <w:t>.</w:t>
      </w:r>
    </w:p>
    <w:p w14:paraId="5DDFAA3F" w14:textId="77777777" w:rsidR="00A653AA" w:rsidRPr="00BE048B" w:rsidRDefault="00A653AA" w:rsidP="00A653AA">
      <w:pPr>
        <w:numPr>
          <w:ilvl w:val="0"/>
          <w:numId w:val="22"/>
        </w:numPr>
        <w:spacing w:after="0"/>
        <w:rPr>
          <w:rFonts w:ascii="Arial" w:hAnsi="Arial" w:cs="Arial"/>
          <w:sz w:val="24"/>
          <w:szCs w:val="24"/>
        </w:rPr>
      </w:pPr>
      <w:r w:rsidRPr="00BE048B">
        <w:rPr>
          <w:rFonts w:ascii="Arial" w:hAnsi="Arial" w:cs="Arial"/>
          <w:sz w:val="24"/>
          <w:szCs w:val="24"/>
        </w:rPr>
        <w:t>Ensur</w:t>
      </w:r>
      <w:r w:rsidRPr="00B022FA">
        <w:rPr>
          <w:rFonts w:ascii="Arial" w:hAnsi="Arial" w:cs="Arial"/>
          <w:sz w:val="24"/>
          <w:szCs w:val="24"/>
        </w:rPr>
        <w:t>es</w:t>
      </w:r>
      <w:r w:rsidRPr="00BE048B">
        <w:rPr>
          <w:rFonts w:ascii="Arial" w:hAnsi="Arial" w:cs="Arial"/>
          <w:sz w:val="24"/>
          <w:szCs w:val="24"/>
        </w:rPr>
        <w:t xml:space="preserve"> </w:t>
      </w:r>
      <w:r w:rsidRPr="00B022FA">
        <w:rPr>
          <w:rFonts w:ascii="Arial" w:hAnsi="Arial" w:cs="Arial"/>
          <w:sz w:val="24"/>
          <w:szCs w:val="24"/>
        </w:rPr>
        <w:t>stability-a</w:t>
      </w:r>
      <w:r w:rsidRPr="00BE048B">
        <w:rPr>
          <w:rFonts w:ascii="Arial" w:hAnsi="Arial" w:cs="Arial"/>
          <w:sz w:val="24"/>
          <w:szCs w:val="24"/>
        </w:rPr>
        <w:t>llows the program to maintain consistent control of housing stock, even if individual tenants move out.</w:t>
      </w:r>
    </w:p>
    <w:p w14:paraId="68931052" w14:textId="77777777" w:rsidR="00A653AA" w:rsidRPr="00BE048B" w:rsidRDefault="00A653AA" w:rsidP="00A653AA">
      <w:pPr>
        <w:numPr>
          <w:ilvl w:val="0"/>
          <w:numId w:val="22"/>
        </w:numPr>
        <w:spacing w:after="0"/>
        <w:rPr>
          <w:rFonts w:ascii="Arial" w:hAnsi="Arial" w:cs="Arial"/>
          <w:sz w:val="24"/>
          <w:szCs w:val="24"/>
        </w:rPr>
      </w:pPr>
      <w:r w:rsidRPr="00BE048B">
        <w:rPr>
          <w:rFonts w:ascii="Arial" w:hAnsi="Arial" w:cs="Arial"/>
          <w:sz w:val="24"/>
          <w:szCs w:val="24"/>
        </w:rPr>
        <w:t>Support</w:t>
      </w:r>
      <w:r w:rsidRPr="00B022FA">
        <w:rPr>
          <w:rFonts w:ascii="Arial" w:hAnsi="Arial" w:cs="Arial"/>
          <w:sz w:val="24"/>
          <w:szCs w:val="24"/>
        </w:rPr>
        <w:t xml:space="preserve"> for</w:t>
      </w:r>
      <w:r w:rsidRPr="00BE048B">
        <w:rPr>
          <w:rFonts w:ascii="Arial" w:hAnsi="Arial" w:cs="Arial"/>
          <w:sz w:val="24"/>
          <w:szCs w:val="24"/>
        </w:rPr>
        <w:t xml:space="preserve"> vulnerable populations</w:t>
      </w:r>
      <w:r w:rsidRPr="00B022FA">
        <w:rPr>
          <w:rFonts w:ascii="Arial" w:hAnsi="Arial" w:cs="Arial"/>
          <w:sz w:val="24"/>
          <w:szCs w:val="24"/>
        </w:rPr>
        <w:t>-c</w:t>
      </w:r>
      <w:r w:rsidRPr="00BE048B">
        <w:rPr>
          <w:rFonts w:ascii="Arial" w:hAnsi="Arial" w:cs="Arial"/>
          <w:sz w:val="24"/>
          <w:szCs w:val="24"/>
        </w:rPr>
        <w:t xml:space="preserve">reates a stable environment where </w:t>
      </w:r>
      <w:r w:rsidRPr="00B022FA">
        <w:rPr>
          <w:rFonts w:ascii="Arial" w:hAnsi="Arial" w:cs="Arial"/>
          <w:sz w:val="24"/>
          <w:szCs w:val="24"/>
        </w:rPr>
        <w:t>clients</w:t>
      </w:r>
      <w:r w:rsidRPr="00BE048B">
        <w:rPr>
          <w:rFonts w:ascii="Arial" w:hAnsi="Arial" w:cs="Arial"/>
          <w:sz w:val="24"/>
          <w:szCs w:val="24"/>
        </w:rPr>
        <w:t xml:space="preserve"> can access on-site or coordinated supportive services.</w:t>
      </w:r>
    </w:p>
    <w:p w14:paraId="6CE60708" w14:textId="77777777" w:rsidR="00A653AA" w:rsidRPr="00B022FA" w:rsidRDefault="00A653AA" w:rsidP="00A653AA">
      <w:pPr>
        <w:numPr>
          <w:ilvl w:val="0"/>
          <w:numId w:val="22"/>
        </w:numPr>
        <w:spacing w:after="0"/>
        <w:rPr>
          <w:rFonts w:ascii="Arial" w:hAnsi="Arial" w:cs="Arial"/>
          <w:sz w:val="24"/>
          <w:szCs w:val="24"/>
        </w:rPr>
      </w:pPr>
      <w:r w:rsidRPr="00BE048B">
        <w:rPr>
          <w:rFonts w:ascii="Arial" w:hAnsi="Arial" w:cs="Arial"/>
          <w:sz w:val="24"/>
          <w:szCs w:val="24"/>
        </w:rPr>
        <w:t>Simpli</w:t>
      </w:r>
      <w:r w:rsidRPr="00B022FA">
        <w:rPr>
          <w:rFonts w:ascii="Arial" w:hAnsi="Arial" w:cs="Arial"/>
          <w:sz w:val="24"/>
          <w:szCs w:val="24"/>
        </w:rPr>
        <w:t>fies</w:t>
      </w:r>
      <w:r w:rsidRPr="00BE048B">
        <w:rPr>
          <w:rFonts w:ascii="Arial" w:hAnsi="Arial" w:cs="Arial"/>
          <w:sz w:val="24"/>
          <w:szCs w:val="24"/>
        </w:rPr>
        <w:t xml:space="preserve"> administration</w:t>
      </w:r>
      <w:r w:rsidRPr="00B022FA">
        <w:rPr>
          <w:rFonts w:ascii="Arial" w:hAnsi="Arial" w:cs="Arial"/>
          <w:sz w:val="24"/>
          <w:szCs w:val="24"/>
        </w:rPr>
        <w:t>-t</w:t>
      </w:r>
      <w:r w:rsidRPr="00BE048B">
        <w:rPr>
          <w:rFonts w:ascii="Arial" w:hAnsi="Arial" w:cs="Arial"/>
          <w:sz w:val="24"/>
          <w:szCs w:val="24"/>
        </w:rPr>
        <w:t>he landlord deals with one master tenant (the program agency) rather than multiple individual tenants.</w:t>
      </w:r>
      <w:r w:rsidRPr="00B022FA">
        <w:rPr>
          <w:rFonts w:ascii="Arial" w:hAnsi="Arial" w:cs="Arial"/>
          <w:sz w:val="24"/>
          <w:szCs w:val="24"/>
        </w:rPr>
        <w:t xml:space="preserve">  </w:t>
      </w:r>
      <w:r w:rsidRPr="00B022FA">
        <w:rPr>
          <w:rFonts w:ascii="Arial" w:hAnsi="Arial" w:cs="Arial"/>
          <w:bCs/>
          <w:sz w:val="24"/>
          <w:szCs w:val="24"/>
        </w:rPr>
        <w:t>This structure gives the master lessee control over the property's operations, including managing tenants, collecting rent, and handling maintenance, while the property owner receives a steady income stream.</w:t>
      </w:r>
    </w:p>
    <w:p w14:paraId="4FA8B7AA" w14:textId="77777777" w:rsidR="00A653AA" w:rsidRPr="00B022FA" w:rsidRDefault="00A653AA" w:rsidP="00A653AA">
      <w:pPr>
        <w:spacing w:after="0"/>
        <w:rPr>
          <w:rFonts w:ascii="Arial" w:hAnsi="Arial" w:cs="Arial"/>
          <w:b/>
          <w:sz w:val="24"/>
          <w:szCs w:val="24"/>
          <w:u w:val="single"/>
        </w:rPr>
      </w:pPr>
    </w:p>
    <w:p w14:paraId="169AD50B" w14:textId="77777777" w:rsidR="00A653AA" w:rsidRPr="00B022FA" w:rsidRDefault="00A653AA" w:rsidP="00A653AA">
      <w:pPr>
        <w:spacing w:after="0"/>
        <w:rPr>
          <w:rFonts w:ascii="Arial" w:hAnsi="Arial" w:cs="Arial"/>
          <w:sz w:val="24"/>
          <w:szCs w:val="24"/>
        </w:rPr>
      </w:pPr>
      <w:r w:rsidRPr="00B022FA">
        <w:rPr>
          <w:rFonts w:ascii="Arial" w:hAnsi="Arial" w:cs="Arial"/>
          <w:sz w:val="24"/>
          <w:szCs w:val="24"/>
        </w:rPr>
        <w:t xml:space="preserve">The primary functions of the Master Lease Services for the target population include: </w:t>
      </w:r>
    </w:p>
    <w:p w14:paraId="4CEBCA22" w14:textId="77777777" w:rsidR="00A653AA" w:rsidRPr="00B022FA" w:rsidRDefault="00A653AA" w:rsidP="00A653AA">
      <w:pPr>
        <w:pStyle w:val="ListParagraph"/>
        <w:numPr>
          <w:ilvl w:val="0"/>
          <w:numId w:val="18"/>
        </w:numPr>
        <w:spacing w:after="0"/>
        <w:rPr>
          <w:rFonts w:ascii="Arial" w:hAnsi="Arial" w:cs="Arial"/>
          <w:sz w:val="24"/>
          <w:szCs w:val="24"/>
        </w:rPr>
      </w:pPr>
      <w:r w:rsidRPr="00B022FA">
        <w:rPr>
          <w:rFonts w:ascii="Arial" w:hAnsi="Arial" w:cs="Arial"/>
          <w:sz w:val="24"/>
          <w:szCs w:val="24"/>
        </w:rPr>
        <w:t>Housing acquisition and leasing- This involves identifying, securing, and leasing residential units from private landlords or property owners under a master lease agreement. The Vendor acts as the primary leaseholder, allowing it to sublease units to clients who may face barriers to traditional housing access due to behavioral health conditions, income instability, or past housing challenges. This approach enables rapid placement and expands housing options without requiring clients to meet standard rental criteria.</w:t>
      </w:r>
    </w:p>
    <w:p w14:paraId="0CB64A9A" w14:textId="77777777" w:rsidR="00A653AA" w:rsidRPr="00B022FA" w:rsidRDefault="00A653AA" w:rsidP="00A653AA">
      <w:pPr>
        <w:pStyle w:val="ListParagraph"/>
        <w:numPr>
          <w:ilvl w:val="0"/>
          <w:numId w:val="21"/>
        </w:numPr>
        <w:spacing w:after="0"/>
        <w:rPr>
          <w:rFonts w:ascii="Arial" w:hAnsi="Arial" w:cs="Arial"/>
          <w:sz w:val="24"/>
          <w:szCs w:val="24"/>
        </w:rPr>
      </w:pPr>
      <w:r w:rsidRPr="00B022FA">
        <w:rPr>
          <w:rFonts w:ascii="Arial" w:hAnsi="Arial" w:cs="Arial"/>
          <w:sz w:val="24"/>
          <w:szCs w:val="24"/>
        </w:rPr>
        <w:t>Landlord recruitment and education-proactively identify and engage private property owners and real estate professionals to educate them about the benefits of master leasing for a behavioral health population. This includes highlighting guaranteed rental income regardless of occupancy, reduced property management burden, and available support services.</w:t>
      </w:r>
    </w:p>
    <w:p w14:paraId="4858BE07" w14:textId="77777777" w:rsidR="00A653AA" w:rsidRPr="00B022FA" w:rsidRDefault="00A653AA" w:rsidP="00A653AA">
      <w:pPr>
        <w:pStyle w:val="ListParagraph"/>
        <w:numPr>
          <w:ilvl w:val="0"/>
          <w:numId w:val="21"/>
        </w:numPr>
        <w:spacing w:after="0"/>
        <w:rPr>
          <w:rFonts w:ascii="Arial" w:hAnsi="Arial" w:cs="Arial"/>
          <w:sz w:val="24"/>
          <w:szCs w:val="24"/>
        </w:rPr>
      </w:pPr>
      <w:r w:rsidRPr="00B022FA">
        <w:rPr>
          <w:rFonts w:ascii="Arial" w:hAnsi="Arial" w:cs="Arial"/>
          <w:sz w:val="24"/>
          <w:szCs w:val="24"/>
        </w:rPr>
        <w:t xml:space="preserve">Secure master lease agreements for residential units statewide. The vendor shall adhere to the </w:t>
      </w:r>
      <w:r w:rsidRPr="00B022FA">
        <w:rPr>
          <w:rFonts w:ascii="Arial" w:eastAsia="Times New Roman" w:hAnsi="Arial" w:cs="Arial"/>
          <w:sz w:val="24"/>
          <w:szCs w:val="24"/>
        </w:rPr>
        <w:t xml:space="preserve">20%/2-person rule of the U.S. Department of Justice Settlement Agreement which outlines the benefits of a diverse community for individuals living with disabilities.  If a location might exceed </w:t>
      </w:r>
      <w:r>
        <w:rPr>
          <w:rFonts w:ascii="Arial" w:eastAsia="Times New Roman" w:hAnsi="Arial" w:cs="Arial"/>
          <w:sz w:val="24"/>
          <w:szCs w:val="24"/>
        </w:rPr>
        <w:t>2</w:t>
      </w:r>
      <w:r w:rsidRPr="00B022FA">
        <w:rPr>
          <w:rFonts w:ascii="Arial" w:eastAsia="Times New Roman" w:hAnsi="Arial" w:cs="Arial"/>
          <w:sz w:val="24"/>
          <w:szCs w:val="24"/>
        </w:rPr>
        <w:t>0%, the vendor shall obtain approval from DSAMH.  The Vendor shall m</w:t>
      </w:r>
      <w:r w:rsidRPr="00B022FA">
        <w:rPr>
          <w:rFonts w:ascii="Arial" w:eastAsia="Aptos" w:hAnsi="Arial" w:cs="Arial"/>
          <w:kern w:val="2"/>
          <w:sz w:val="24"/>
          <w:szCs w:val="24"/>
          <w14:ligatures w14:val="standardContextual"/>
        </w:rPr>
        <w:t>aintain accurate records of leases and fair market value assessment.</w:t>
      </w:r>
    </w:p>
    <w:p w14:paraId="0F7EE258" w14:textId="77777777" w:rsidR="00A653AA" w:rsidRPr="00B022FA" w:rsidRDefault="00A653AA" w:rsidP="00A653AA">
      <w:pPr>
        <w:pStyle w:val="ListParagraph"/>
        <w:numPr>
          <w:ilvl w:val="1"/>
          <w:numId w:val="21"/>
        </w:numPr>
        <w:spacing w:after="0"/>
        <w:rPr>
          <w:rFonts w:ascii="Arial" w:hAnsi="Arial" w:cs="Arial"/>
          <w:sz w:val="24"/>
          <w:szCs w:val="24"/>
        </w:rPr>
      </w:pPr>
      <w:r w:rsidRPr="00B022FA">
        <w:rPr>
          <w:rFonts w:ascii="Arial" w:hAnsi="Arial" w:cs="Arial"/>
          <w:sz w:val="24"/>
          <w:szCs w:val="24"/>
        </w:rPr>
        <w:lastRenderedPageBreak/>
        <w:t xml:space="preserve">SAP-proposed locations should be statewide.  It is recommended that dwellings be ADA compliant clustered-site locations as the DSAMH contracted SAP behavioral health peer support provider is required to be on-site to support clients (subtenants) 24/7.  </w:t>
      </w:r>
      <w:bookmarkStart w:id="1" w:name="_Hlk213973691"/>
      <w:r w:rsidRPr="00B022FA">
        <w:rPr>
          <w:rFonts w:ascii="Arial" w:hAnsi="Arial" w:cs="Arial"/>
          <w:sz w:val="24"/>
          <w:szCs w:val="24"/>
        </w:rPr>
        <w:t xml:space="preserve">Site locations can be multi-family apartment complexes or single-family residences. Units typically are shared spaces but there are some single units to accommodate special population needs. It is an expectation that the awarded vendor(s) work in partnership with any existing contracted vendor (as applicable) on any property transition needs and client/tenant service coordination. </w:t>
      </w:r>
      <w:bookmarkEnd w:id="1"/>
    </w:p>
    <w:p w14:paraId="11BE0E9B" w14:textId="77777777" w:rsidR="00A653AA" w:rsidRPr="00B022FA" w:rsidRDefault="00A653AA" w:rsidP="00A653AA">
      <w:pPr>
        <w:pStyle w:val="ListParagraph"/>
        <w:numPr>
          <w:ilvl w:val="0"/>
          <w:numId w:val="20"/>
        </w:numPr>
        <w:spacing w:after="0"/>
        <w:rPr>
          <w:rFonts w:ascii="Arial" w:hAnsi="Arial" w:cs="Arial"/>
          <w:sz w:val="24"/>
          <w:szCs w:val="24"/>
        </w:rPr>
      </w:pPr>
      <w:r w:rsidRPr="00B022FA">
        <w:rPr>
          <w:rFonts w:ascii="Arial" w:hAnsi="Arial" w:cs="Arial"/>
          <w:sz w:val="24"/>
          <w:szCs w:val="24"/>
        </w:rPr>
        <w:t xml:space="preserve">SHP-proposed locations should be statewide.  It is recommended that dwellings be ADA compliant clustered or scattered-site locations.  Site locations can be multi-family apartment complexes or single-family residences.  Units typically are shared spaces but there are some single units to accommodate special population needs. It is an expectation that the awarded vendor(s) work in partnership with any existing contracted vendor (as applicable) on any property transition needs and client/tenant service coordination. </w:t>
      </w:r>
    </w:p>
    <w:p w14:paraId="43431278" w14:textId="77777777" w:rsidR="00A653AA" w:rsidRPr="00B022FA" w:rsidRDefault="00A653AA" w:rsidP="00A653AA">
      <w:pPr>
        <w:pStyle w:val="ListParagraph"/>
        <w:numPr>
          <w:ilvl w:val="0"/>
          <w:numId w:val="20"/>
        </w:numPr>
        <w:spacing w:after="0"/>
        <w:rPr>
          <w:rFonts w:ascii="Arial" w:hAnsi="Arial" w:cs="Arial"/>
          <w:sz w:val="24"/>
          <w:szCs w:val="24"/>
        </w:rPr>
      </w:pPr>
      <w:r w:rsidRPr="00B022FA">
        <w:rPr>
          <w:rFonts w:ascii="Arial" w:hAnsi="Arial" w:cs="Arial"/>
          <w:sz w:val="24"/>
          <w:szCs w:val="24"/>
        </w:rPr>
        <w:t>TCM-this is not a statewide program. Proposed locations should be within a 6-mile radius of TCM administrative offices located at 252 Chapman Rd. Newark, DE 19702.  It is preferred that the proposed sites are ADA compliant, shared housing units in a clustered area. Types of dwellings include multi-family apartment buildings and single-family residences.  TCM is not subject to the 20%/2-person rule.  Vendor shall coordinate with designated TCM Project Lead on appropriateness of site locations.</w:t>
      </w:r>
      <w:r>
        <w:rPr>
          <w:rFonts w:ascii="Arial" w:hAnsi="Arial" w:cs="Arial"/>
          <w:sz w:val="24"/>
          <w:szCs w:val="24"/>
        </w:rPr>
        <w:t xml:space="preserve">  It is our preference to have site locations operational (approved by DSAMH and available for client admission) within three (3) months following contract execution.</w:t>
      </w:r>
    </w:p>
    <w:p w14:paraId="7F286E57" w14:textId="77777777" w:rsidR="00A653AA" w:rsidRPr="00B022FA" w:rsidRDefault="00A653AA" w:rsidP="00A653AA">
      <w:pPr>
        <w:pStyle w:val="ListParagraph"/>
        <w:numPr>
          <w:ilvl w:val="1"/>
          <w:numId w:val="18"/>
        </w:numPr>
        <w:spacing w:after="0"/>
        <w:rPr>
          <w:rFonts w:ascii="Arial" w:hAnsi="Arial" w:cs="Arial"/>
          <w:sz w:val="24"/>
          <w:szCs w:val="24"/>
        </w:rPr>
      </w:pPr>
      <w:r w:rsidRPr="00B022FA">
        <w:rPr>
          <w:rFonts w:ascii="Arial" w:hAnsi="Arial" w:cs="Arial"/>
          <w:sz w:val="24"/>
          <w:szCs w:val="24"/>
        </w:rPr>
        <w:t>Ensure units are geographically distributed to support community integration and access to services (consider proximity to behavioral health services, public transportation, and employment/social care services).</w:t>
      </w:r>
    </w:p>
    <w:p w14:paraId="4D1DFD42" w14:textId="77777777" w:rsidR="00A653AA" w:rsidRPr="00B022FA" w:rsidRDefault="00A653AA" w:rsidP="00A653AA">
      <w:pPr>
        <w:pStyle w:val="ListParagraph"/>
        <w:numPr>
          <w:ilvl w:val="1"/>
          <w:numId w:val="18"/>
        </w:numPr>
        <w:spacing w:after="0"/>
        <w:rPr>
          <w:rFonts w:ascii="Arial" w:hAnsi="Arial" w:cs="Arial"/>
          <w:sz w:val="24"/>
          <w:szCs w:val="24"/>
        </w:rPr>
      </w:pPr>
      <w:r w:rsidRPr="00B022FA">
        <w:rPr>
          <w:rFonts w:ascii="Arial" w:hAnsi="Arial" w:cs="Arial"/>
          <w:sz w:val="24"/>
          <w:szCs w:val="24"/>
        </w:rPr>
        <w:t>Ensure all units meet Federal, State, and Local standards for safety, accessibility, and energy efficiency.</w:t>
      </w:r>
    </w:p>
    <w:p w14:paraId="1289BE59" w14:textId="77777777" w:rsidR="00A653AA" w:rsidRPr="00B022FA" w:rsidRDefault="00A653AA" w:rsidP="00A653AA">
      <w:pPr>
        <w:pStyle w:val="ListParagraph"/>
        <w:spacing w:after="0"/>
        <w:ind w:left="1080"/>
        <w:rPr>
          <w:rFonts w:ascii="Arial" w:hAnsi="Arial" w:cs="Arial"/>
          <w:sz w:val="24"/>
          <w:szCs w:val="24"/>
        </w:rPr>
      </w:pPr>
    </w:p>
    <w:p w14:paraId="495808FD" w14:textId="77777777" w:rsidR="00A653AA" w:rsidRPr="00B022FA" w:rsidRDefault="00A653AA" w:rsidP="00A653AA">
      <w:pPr>
        <w:pStyle w:val="ListParagraph"/>
        <w:numPr>
          <w:ilvl w:val="0"/>
          <w:numId w:val="18"/>
        </w:numPr>
        <w:spacing w:after="0"/>
        <w:rPr>
          <w:rFonts w:ascii="Arial" w:hAnsi="Arial" w:cs="Arial"/>
          <w:sz w:val="24"/>
          <w:szCs w:val="24"/>
        </w:rPr>
      </w:pPr>
      <w:r w:rsidRPr="00B022FA">
        <w:rPr>
          <w:rFonts w:ascii="Arial" w:hAnsi="Arial" w:cs="Arial"/>
          <w:sz w:val="24"/>
          <w:szCs w:val="24"/>
        </w:rPr>
        <w:t>Property management and maintenance- once units are leased, the vendor oversees the day-to-day operations of the properties. This includes ensuring units are safe, clean, and habitable; coordinating repairs; handling landlord relations; and managing lease compliance. Effective property management ensures that housing remains stable and dignified, which is essential for clients’ recovery and well-being.</w:t>
      </w:r>
    </w:p>
    <w:p w14:paraId="515DB5A4" w14:textId="77777777" w:rsidR="00A653AA" w:rsidRPr="00B022FA" w:rsidRDefault="00A653AA" w:rsidP="00A653AA">
      <w:pPr>
        <w:pStyle w:val="ListParagraph"/>
        <w:numPr>
          <w:ilvl w:val="0"/>
          <w:numId w:val="21"/>
        </w:numPr>
        <w:spacing w:after="0"/>
        <w:rPr>
          <w:rFonts w:ascii="Arial" w:hAnsi="Arial" w:cs="Arial"/>
          <w:sz w:val="24"/>
          <w:szCs w:val="24"/>
        </w:rPr>
      </w:pPr>
      <w:r w:rsidRPr="00B022FA">
        <w:rPr>
          <w:rFonts w:ascii="Arial" w:hAnsi="Arial" w:cs="Arial"/>
          <w:sz w:val="24"/>
          <w:szCs w:val="24"/>
        </w:rPr>
        <w:t>Risk mitigation and support-assure landlords that client behaviors will be addressed, and that the organization will provide responsive support for property-related concerns, including having a mitigation plan for potential damages and managing eviction prevention through conflict resolution.</w:t>
      </w:r>
    </w:p>
    <w:p w14:paraId="130E255B" w14:textId="77777777" w:rsidR="00A653AA" w:rsidRPr="00B022FA" w:rsidRDefault="00A653AA" w:rsidP="00A653AA">
      <w:pPr>
        <w:pStyle w:val="ListParagraph"/>
        <w:numPr>
          <w:ilvl w:val="0"/>
          <w:numId w:val="21"/>
        </w:numPr>
        <w:spacing w:after="0"/>
        <w:rPr>
          <w:rFonts w:ascii="Arial" w:hAnsi="Arial" w:cs="Arial"/>
          <w:sz w:val="24"/>
          <w:szCs w:val="24"/>
        </w:rPr>
      </w:pPr>
      <w:r w:rsidRPr="00B022FA">
        <w:rPr>
          <w:rFonts w:ascii="Arial" w:hAnsi="Arial" w:cs="Arial"/>
          <w:sz w:val="24"/>
          <w:szCs w:val="24"/>
        </w:rPr>
        <w:t xml:space="preserve">Relationship management-act as the single point of contact for property owners, streamlining communication and fostering trust through dependability and </w:t>
      </w:r>
      <w:r w:rsidRPr="00B022FA">
        <w:rPr>
          <w:rFonts w:ascii="Arial" w:hAnsi="Arial" w:cs="Arial"/>
          <w:sz w:val="24"/>
          <w:szCs w:val="24"/>
        </w:rPr>
        <w:lastRenderedPageBreak/>
        <w:t>accountability. This includes being responsive to community complaints and ensuring property maintenance is addressed swiftly.</w:t>
      </w:r>
    </w:p>
    <w:p w14:paraId="20BBC032" w14:textId="77777777" w:rsidR="00A653AA" w:rsidRPr="00B022FA" w:rsidRDefault="00A653AA" w:rsidP="00A653AA">
      <w:pPr>
        <w:pStyle w:val="ListParagraph"/>
        <w:numPr>
          <w:ilvl w:val="1"/>
          <w:numId w:val="18"/>
        </w:numPr>
        <w:spacing w:after="0"/>
        <w:rPr>
          <w:rFonts w:ascii="Arial" w:hAnsi="Arial" w:cs="Arial"/>
          <w:sz w:val="24"/>
          <w:szCs w:val="24"/>
        </w:rPr>
      </w:pPr>
      <w:r w:rsidRPr="00B022FA">
        <w:rPr>
          <w:rFonts w:ascii="Arial" w:hAnsi="Arial" w:cs="Arial"/>
          <w:sz w:val="24"/>
          <w:szCs w:val="24"/>
        </w:rPr>
        <w:t>Unit preparation-coordinate necessary repairs and improvements to bring units up to code and ensure they are safe and habitable prior to client move-in.  This should also include utility installation needs and essential furnishings.  Furnishings can include but are not limited to items that balance a safe, durable, and secure environment with a therapeutic, comfortable, and home-like aesthetic. This includes sturdy, tamper-resistant, and potentially weighted or bolt-down furniture designed to minimize self-harm risks (e.g., ligature-resistant features, no sharp edges, inaccessible hardware if possible).  Suggested key items include but are not limited to comfortable yet durable beds with fluid-proof, bed bug resistant mattresses, open-storage dressers/shelving to prevent the concealment of contraband, and secure window treatments for privacy. Common areas require heavy-use seating and tables designed for group activities and dining, with easy-to-clean, durable surfaces and upholstery. The units should also be equipped with essential household kitchen equipment/supplies, television, and lighting.  All furnishings should be selected to withstand rigorous use while promoting a calming atmosphere that supports a client’s' journey toward wellness.</w:t>
      </w:r>
    </w:p>
    <w:p w14:paraId="5DC8F11D" w14:textId="77777777" w:rsidR="00A653AA" w:rsidRPr="00B022FA" w:rsidRDefault="00A653AA" w:rsidP="00A653AA">
      <w:pPr>
        <w:pStyle w:val="ListParagraph"/>
        <w:numPr>
          <w:ilvl w:val="1"/>
          <w:numId w:val="18"/>
        </w:numPr>
        <w:spacing w:after="0"/>
        <w:rPr>
          <w:rFonts w:ascii="Arial" w:hAnsi="Arial" w:cs="Arial"/>
          <w:sz w:val="24"/>
          <w:szCs w:val="24"/>
        </w:rPr>
      </w:pPr>
      <w:r w:rsidRPr="00B022FA">
        <w:rPr>
          <w:rFonts w:ascii="Arial" w:hAnsi="Arial" w:cs="Arial"/>
          <w:sz w:val="24"/>
          <w:szCs w:val="24"/>
        </w:rPr>
        <w:t>Rent collection and liability-assume fiscal responsibility for rent payments to the property owner and manage costs associated with vacancies, potential damages, and eviction processes.  Manage utilities and essential furnishings.</w:t>
      </w:r>
    </w:p>
    <w:p w14:paraId="00D6D329" w14:textId="77777777" w:rsidR="00A653AA" w:rsidRPr="00427358" w:rsidRDefault="00A653AA" w:rsidP="00A653AA">
      <w:pPr>
        <w:pStyle w:val="ListParagraph"/>
        <w:numPr>
          <w:ilvl w:val="1"/>
          <w:numId w:val="18"/>
        </w:numPr>
        <w:rPr>
          <w:rFonts w:ascii="Arial" w:hAnsi="Arial" w:cs="Arial"/>
          <w:sz w:val="24"/>
          <w:szCs w:val="24"/>
        </w:rPr>
      </w:pPr>
      <w:r w:rsidRPr="00427358">
        <w:rPr>
          <w:rFonts w:ascii="Arial" w:hAnsi="Arial" w:cs="Arial"/>
          <w:sz w:val="24"/>
          <w:szCs w:val="24"/>
        </w:rPr>
        <w:t>Enforce lease terms and safety protocols in accordance with applicable regulations, policies, and procedures.</w:t>
      </w:r>
    </w:p>
    <w:p w14:paraId="4C6F7568" w14:textId="77777777" w:rsidR="00A653AA" w:rsidRPr="00B022FA" w:rsidRDefault="00A653AA" w:rsidP="00A653AA">
      <w:pPr>
        <w:pStyle w:val="ListParagraph"/>
        <w:numPr>
          <w:ilvl w:val="1"/>
          <w:numId w:val="18"/>
        </w:numPr>
        <w:spacing w:after="0"/>
        <w:rPr>
          <w:rFonts w:ascii="Arial" w:hAnsi="Arial" w:cs="Arial"/>
          <w:sz w:val="24"/>
          <w:szCs w:val="24"/>
        </w:rPr>
      </w:pPr>
      <w:r w:rsidRPr="00B022FA">
        <w:rPr>
          <w:rFonts w:ascii="Arial" w:hAnsi="Arial" w:cs="Arial"/>
          <w:sz w:val="24"/>
          <w:szCs w:val="24"/>
        </w:rPr>
        <w:t xml:space="preserve">Conduct quarterly inspections.  It is recommended that the Vendor adopt the U.S. Department of Housing and Urban Development’s National Standards for the Physical Inspection of Real Estate (NSPIRE) standards.  HUD's NSPIRE standards for housing quality focus on making sure properties are "functionally adequate, operable, and free of health and safety hazards". NSPIRE emphasizes its shift toward being more resident-focused and safety-driven than previous inspection systems. Vendor compliance requires adopting clear, specific language and procedures in policies and communications. Please refer to </w:t>
      </w:r>
      <w:hyperlink r:id="rId11" w:history="1">
        <w:r w:rsidRPr="00B022FA">
          <w:rPr>
            <w:rStyle w:val="Hyperlink"/>
            <w:rFonts w:ascii="Arial" w:hAnsi="Arial" w:cs="Arial"/>
            <w:color w:val="auto"/>
            <w:sz w:val="24"/>
            <w:szCs w:val="24"/>
          </w:rPr>
          <w:t>https://www.hudexchange.info/programs/nspire/</w:t>
        </w:r>
      </w:hyperlink>
      <w:r w:rsidRPr="00B022FA">
        <w:rPr>
          <w:rFonts w:ascii="Arial" w:hAnsi="Arial" w:cs="Arial"/>
          <w:sz w:val="24"/>
          <w:szCs w:val="24"/>
        </w:rPr>
        <w:t>.</w:t>
      </w:r>
    </w:p>
    <w:p w14:paraId="6AF7E262" w14:textId="77777777" w:rsidR="00A653AA" w:rsidRPr="00B022FA" w:rsidRDefault="00A653AA" w:rsidP="00A653AA">
      <w:pPr>
        <w:pStyle w:val="ListParagraph"/>
        <w:numPr>
          <w:ilvl w:val="1"/>
          <w:numId w:val="18"/>
        </w:numPr>
        <w:spacing w:after="0"/>
        <w:rPr>
          <w:rFonts w:ascii="Arial" w:hAnsi="Arial" w:cs="Arial"/>
          <w:sz w:val="24"/>
          <w:szCs w:val="24"/>
        </w:rPr>
      </w:pPr>
      <w:r w:rsidRPr="00B022FA">
        <w:rPr>
          <w:rFonts w:ascii="Arial" w:hAnsi="Arial" w:cs="Arial"/>
          <w:sz w:val="24"/>
          <w:szCs w:val="24"/>
        </w:rPr>
        <w:t>Respond to maintenance requests within 24 hours (maintain a 24/7 contact line for urgent property issues).</w:t>
      </w:r>
    </w:p>
    <w:p w14:paraId="42B4B978" w14:textId="77777777" w:rsidR="00A653AA" w:rsidRPr="00B022FA" w:rsidRDefault="00A653AA" w:rsidP="00A653AA">
      <w:pPr>
        <w:pStyle w:val="ListParagraph"/>
        <w:numPr>
          <w:ilvl w:val="1"/>
          <w:numId w:val="18"/>
        </w:numPr>
        <w:spacing w:after="0"/>
        <w:rPr>
          <w:rFonts w:ascii="Arial" w:hAnsi="Arial" w:cs="Arial"/>
          <w:sz w:val="24"/>
          <w:szCs w:val="24"/>
        </w:rPr>
      </w:pPr>
      <w:r w:rsidRPr="00B022FA">
        <w:rPr>
          <w:rFonts w:ascii="Arial" w:hAnsi="Arial" w:cs="Arial"/>
          <w:sz w:val="24"/>
          <w:szCs w:val="24"/>
        </w:rPr>
        <w:t>Maintain digital systems for tracking repairs, inspections, and unit turnover.</w:t>
      </w:r>
    </w:p>
    <w:p w14:paraId="2A3C11C7" w14:textId="77777777" w:rsidR="00A653AA" w:rsidRPr="00B022FA" w:rsidRDefault="00A653AA" w:rsidP="00A653AA">
      <w:pPr>
        <w:pStyle w:val="ListParagraph"/>
        <w:spacing w:after="0"/>
        <w:ind w:left="1080"/>
        <w:rPr>
          <w:rFonts w:ascii="Arial" w:hAnsi="Arial" w:cs="Arial"/>
          <w:sz w:val="24"/>
          <w:szCs w:val="24"/>
        </w:rPr>
      </w:pPr>
    </w:p>
    <w:p w14:paraId="5D82C952" w14:textId="77777777" w:rsidR="00A653AA" w:rsidRPr="00B022FA" w:rsidRDefault="00A653AA" w:rsidP="00A653AA">
      <w:pPr>
        <w:pStyle w:val="ListParagraph"/>
        <w:numPr>
          <w:ilvl w:val="0"/>
          <w:numId w:val="18"/>
        </w:numPr>
        <w:spacing w:after="0"/>
        <w:rPr>
          <w:rFonts w:ascii="Arial" w:hAnsi="Arial" w:cs="Arial"/>
          <w:sz w:val="24"/>
          <w:szCs w:val="24"/>
        </w:rPr>
      </w:pPr>
      <w:r w:rsidRPr="00B022FA">
        <w:rPr>
          <w:rFonts w:ascii="Arial" w:hAnsi="Arial" w:cs="Arial"/>
          <w:sz w:val="24"/>
          <w:szCs w:val="24"/>
        </w:rPr>
        <w:t>Tenant coordination and supportive services coordination- This function connects tenants to their behavioral health service providers and ensures they receive the support needed to maintain housing and improve their quality of life. The vendor shall serve as liaisons between tenants, landlords, and tenants’ behavioral health providers, as needed, to help resolve issues and promote housing retention. This wraparound support is critical for individuals with a serious persistent mental illness, as it integrates housing with health and social services.</w:t>
      </w:r>
    </w:p>
    <w:p w14:paraId="7D723A4F" w14:textId="27527632" w:rsidR="00A653AA" w:rsidRPr="00B022FA" w:rsidRDefault="00A653AA" w:rsidP="00A653AA">
      <w:pPr>
        <w:pStyle w:val="ListParagraph"/>
        <w:numPr>
          <w:ilvl w:val="0"/>
          <w:numId w:val="19"/>
        </w:numPr>
        <w:spacing w:after="0"/>
        <w:rPr>
          <w:rFonts w:ascii="Arial" w:hAnsi="Arial" w:cs="Arial"/>
          <w:sz w:val="24"/>
          <w:szCs w:val="24"/>
        </w:rPr>
      </w:pPr>
      <w:r w:rsidRPr="00B022FA">
        <w:rPr>
          <w:rFonts w:ascii="Arial" w:hAnsi="Arial" w:cs="Arial"/>
          <w:sz w:val="24"/>
          <w:szCs w:val="24"/>
        </w:rPr>
        <w:lastRenderedPageBreak/>
        <w:t>Engage in scheduled DSAMH planning meetings and interagency coordination to include communication with client’s/tenant’s DSAMH contracted behavioral health provider</w:t>
      </w:r>
      <w:r>
        <w:rPr>
          <w:rFonts w:ascii="Arial" w:hAnsi="Arial" w:cs="Arial"/>
          <w:sz w:val="24"/>
          <w:szCs w:val="24"/>
        </w:rPr>
        <w:t xml:space="preserve"> for relevant discussions about client’s housing needs</w:t>
      </w:r>
      <w:r w:rsidRPr="00B022FA">
        <w:rPr>
          <w:rFonts w:ascii="Arial" w:hAnsi="Arial" w:cs="Arial"/>
          <w:sz w:val="24"/>
          <w:szCs w:val="24"/>
        </w:rPr>
        <w:t>.</w:t>
      </w:r>
    </w:p>
    <w:p w14:paraId="2233DBA4" w14:textId="77777777" w:rsidR="00A653AA" w:rsidRPr="00B022FA" w:rsidRDefault="00A653AA" w:rsidP="00A653AA">
      <w:pPr>
        <w:pStyle w:val="ListParagraph"/>
        <w:numPr>
          <w:ilvl w:val="0"/>
          <w:numId w:val="19"/>
        </w:numPr>
        <w:spacing w:after="0"/>
        <w:rPr>
          <w:rFonts w:ascii="Arial" w:hAnsi="Arial" w:cs="Arial"/>
          <w:sz w:val="24"/>
          <w:szCs w:val="24"/>
        </w:rPr>
      </w:pPr>
      <w:r w:rsidRPr="00B022FA">
        <w:rPr>
          <w:rFonts w:ascii="Arial" w:hAnsi="Arial" w:cs="Arial"/>
          <w:sz w:val="24"/>
          <w:szCs w:val="24"/>
        </w:rPr>
        <w:t>Subtenant Selection (applicable to SAP)-manage the process for approving subtenants.  Collaborate with designated DSAMH Project Leads and designated DSAMH contracted behavioral health providers to match tenants to units (and roommates as applicable.)  Implement equitable tenant screening (approved eligibility verification,</w:t>
      </w:r>
      <w:r w:rsidRPr="00B022FA">
        <w:rPr>
          <w:rFonts w:ascii="Arial" w:hAnsi="Arial" w:cs="Arial"/>
          <w:kern w:val="2"/>
          <w:sz w:val="24"/>
          <w:szCs w:val="24"/>
          <w14:ligatures w14:val="standardContextual"/>
        </w:rPr>
        <w:t xml:space="preserve"> </w:t>
      </w:r>
      <w:r w:rsidRPr="00B022FA">
        <w:rPr>
          <w:rFonts w:ascii="Arial" w:hAnsi="Arial" w:cs="Arial"/>
          <w:sz w:val="24"/>
          <w:szCs w:val="24"/>
        </w:rPr>
        <w:t>criminal background checks, fair housing requirements, and ADA-based reasonable accommodations) and grievance procedures.</w:t>
      </w:r>
    </w:p>
    <w:p w14:paraId="3A7DEEA2" w14:textId="77777777" w:rsidR="00A653AA" w:rsidRPr="00B022FA" w:rsidRDefault="00A653AA" w:rsidP="00A653AA">
      <w:pPr>
        <w:pStyle w:val="ListParagraph"/>
        <w:numPr>
          <w:ilvl w:val="0"/>
          <w:numId w:val="19"/>
        </w:numPr>
        <w:spacing w:after="0"/>
        <w:rPr>
          <w:rFonts w:ascii="Arial" w:hAnsi="Arial" w:cs="Arial"/>
          <w:sz w:val="24"/>
          <w:szCs w:val="24"/>
        </w:rPr>
      </w:pPr>
      <w:r w:rsidRPr="00B022FA">
        <w:rPr>
          <w:rFonts w:ascii="Arial" w:hAnsi="Arial" w:cs="Arial"/>
          <w:sz w:val="24"/>
          <w:szCs w:val="24"/>
        </w:rPr>
        <w:t>Facilitate tenant onboarding and move-in processes, including lease orientation, housing rights education, and documentation.  Use trauma-informed and recovery-oriented approaches in tenant interactions as appropriate.</w:t>
      </w:r>
    </w:p>
    <w:p w14:paraId="0C387E58" w14:textId="77777777" w:rsidR="00A653AA" w:rsidRPr="00B022FA" w:rsidRDefault="00A653AA" w:rsidP="00A653AA">
      <w:pPr>
        <w:pStyle w:val="ListParagraph"/>
        <w:numPr>
          <w:ilvl w:val="0"/>
          <w:numId w:val="19"/>
        </w:numPr>
        <w:spacing w:after="0"/>
        <w:rPr>
          <w:rFonts w:ascii="Arial" w:hAnsi="Arial" w:cs="Arial"/>
          <w:sz w:val="24"/>
          <w:szCs w:val="24"/>
        </w:rPr>
      </w:pPr>
      <w:r w:rsidRPr="00B022FA">
        <w:rPr>
          <w:rFonts w:ascii="Arial" w:hAnsi="Arial" w:cs="Arial"/>
          <w:sz w:val="24"/>
          <w:szCs w:val="24"/>
        </w:rPr>
        <w:t>Maintain accurate waiting lists and vacancy tracking systems for SAP/SHP as applicable.</w:t>
      </w:r>
    </w:p>
    <w:p w14:paraId="6E53A000" w14:textId="77777777" w:rsidR="00A653AA" w:rsidRPr="00B022FA" w:rsidRDefault="00A653AA" w:rsidP="00A653AA">
      <w:pPr>
        <w:pStyle w:val="ListParagraph"/>
        <w:numPr>
          <w:ilvl w:val="0"/>
          <w:numId w:val="19"/>
        </w:numPr>
        <w:spacing w:after="0"/>
        <w:rPr>
          <w:rFonts w:ascii="Arial" w:hAnsi="Arial" w:cs="Arial"/>
          <w:sz w:val="24"/>
          <w:szCs w:val="24"/>
        </w:rPr>
      </w:pPr>
      <w:r w:rsidRPr="00B022FA">
        <w:rPr>
          <w:rFonts w:ascii="Arial" w:hAnsi="Arial" w:cs="Arial"/>
          <w:sz w:val="24"/>
          <w:szCs w:val="24"/>
        </w:rPr>
        <w:t xml:space="preserve">Tenancy support and advocacy-advocate for clients and provide support to prevent lease violations or imminent homelessness, including assisting with requests for reasonable accommodation if needed. Monitor tenant stability and report behavioral or lease-related concerns to designated DSAMH Project Leads and designated DSAMH contracted behavioral health providers. </w:t>
      </w:r>
    </w:p>
    <w:p w14:paraId="192E1C62" w14:textId="77777777" w:rsidR="00A653AA" w:rsidRPr="00B022FA" w:rsidRDefault="00A653AA" w:rsidP="00A653AA">
      <w:pPr>
        <w:spacing w:after="0"/>
        <w:ind w:left="720"/>
        <w:rPr>
          <w:rFonts w:ascii="Arial" w:hAnsi="Arial" w:cs="Arial"/>
          <w:sz w:val="24"/>
          <w:szCs w:val="24"/>
        </w:rPr>
      </w:pPr>
    </w:p>
    <w:p w14:paraId="1903A329" w14:textId="77777777" w:rsidR="00A653AA" w:rsidRPr="00B022FA" w:rsidRDefault="00A653AA" w:rsidP="00A653AA">
      <w:pPr>
        <w:spacing w:after="0"/>
        <w:ind w:left="720"/>
        <w:rPr>
          <w:rFonts w:ascii="Arial" w:hAnsi="Arial" w:cs="Arial"/>
          <w:sz w:val="24"/>
          <w:szCs w:val="24"/>
        </w:rPr>
      </w:pPr>
      <w:r w:rsidRPr="00B022FA">
        <w:rPr>
          <w:rFonts w:ascii="Arial" w:hAnsi="Arial" w:cs="Arial"/>
          <w:sz w:val="24"/>
          <w:szCs w:val="24"/>
        </w:rPr>
        <w:t>*Tenant coordination and supportive services coordination are not applicable to TCM.  TCM is a DSAMH operated program.  Clients are not considered tenants and are not subject to signing a lease. The Vendor shall work with the designated TCM Project Lead for approval of proposed housing locations, and coordination of property management and maintenance. The vendor shall act as liaison with landlord for issues surrounding property and client concerns with the designated DSAMH TCM Project Lead.</w:t>
      </w:r>
    </w:p>
    <w:p w14:paraId="3B972147" w14:textId="77777777" w:rsidR="00A653AA" w:rsidRPr="00B022FA" w:rsidRDefault="00A653AA" w:rsidP="00A653AA">
      <w:pPr>
        <w:spacing w:after="0"/>
        <w:rPr>
          <w:rFonts w:ascii="Arial" w:hAnsi="Arial" w:cs="Arial"/>
          <w:b/>
          <w:bCs/>
          <w:sz w:val="24"/>
          <w:szCs w:val="24"/>
        </w:rPr>
      </w:pPr>
    </w:p>
    <w:p w14:paraId="2FE48247" w14:textId="77777777" w:rsidR="00A653AA" w:rsidRPr="00B022FA" w:rsidRDefault="00A653AA" w:rsidP="00A653AA">
      <w:pPr>
        <w:spacing w:after="0"/>
        <w:rPr>
          <w:rFonts w:ascii="Arial" w:hAnsi="Arial" w:cs="Arial"/>
          <w:b/>
          <w:bCs/>
          <w:sz w:val="24"/>
          <w:szCs w:val="24"/>
        </w:rPr>
      </w:pPr>
      <w:r w:rsidRPr="00B022FA">
        <w:rPr>
          <w:rFonts w:ascii="Arial" w:hAnsi="Arial" w:cs="Arial"/>
          <w:b/>
          <w:bCs/>
          <w:sz w:val="24"/>
          <w:szCs w:val="24"/>
        </w:rPr>
        <w:t>*Vendors shall not name the Delaware Department of Health and Social Services or DSAMH as a Lessee.</w:t>
      </w:r>
    </w:p>
    <w:p w14:paraId="6C669D54" w14:textId="77777777" w:rsidR="00A653AA" w:rsidRPr="00B022FA" w:rsidRDefault="00A653AA" w:rsidP="00A653AA">
      <w:pPr>
        <w:spacing w:after="0"/>
        <w:ind w:left="720"/>
        <w:rPr>
          <w:rFonts w:ascii="Arial" w:hAnsi="Arial" w:cs="Arial"/>
          <w:sz w:val="24"/>
          <w:szCs w:val="24"/>
        </w:rPr>
      </w:pPr>
    </w:p>
    <w:tbl>
      <w:tblPr>
        <w:tblStyle w:val="TableGrid"/>
        <w:tblW w:w="5000" w:type="pct"/>
        <w:tblInd w:w="0" w:type="dxa"/>
        <w:tblLook w:val="04A0" w:firstRow="1" w:lastRow="0" w:firstColumn="1" w:lastColumn="0" w:noHBand="0" w:noVBand="1"/>
      </w:tblPr>
      <w:tblGrid>
        <w:gridCol w:w="10070"/>
      </w:tblGrid>
      <w:tr w:rsidR="00A653AA" w:rsidRPr="00B022FA" w14:paraId="77D52DC3" w14:textId="77777777">
        <w:tc>
          <w:tcPr>
            <w:tcW w:w="5000" w:type="pct"/>
          </w:tcPr>
          <w:p w14:paraId="37AEA0EB" w14:textId="22F6FBE1" w:rsidR="00A653AA" w:rsidRPr="00A63B8E" w:rsidRDefault="00A653AA">
            <w:pPr>
              <w:rPr>
                <w:rFonts w:ascii="Arial" w:hAnsi="Arial" w:cs="Arial"/>
                <w:color w:val="C00000"/>
                <w:sz w:val="24"/>
                <w:szCs w:val="24"/>
              </w:rPr>
            </w:pPr>
            <w:bookmarkStart w:id="2" w:name="_Hlk212404867"/>
            <w:r w:rsidRPr="00A63B8E">
              <w:rPr>
                <w:rFonts w:ascii="Arial" w:hAnsi="Arial" w:cs="Arial"/>
                <w:color w:val="C00000"/>
                <w:sz w:val="24"/>
                <w:szCs w:val="24"/>
              </w:rPr>
              <w:t xml:space="preserve">Administrative Note of Reference:  </w:t>
            </w:r>
          </w:p>
          <w:p w14:paraId="41602586" w14:textId="77777777" w:rsidR="00A653AA" w:rsidRPr="00A63B8E" w:rsidRDefault="00A653AA">
            <w:pPr>
              <w:rPr>
                <w:rFonts w:ascii="Arial" w:hAnsi="Arial" w:cs="Arial"/>
                <w:color w:val="C00000"/>
                <w:sz w:val="24"/>
                <w:szCs w:val="24"/>
              </w:rPr>
            </w:pPr>
          </w:p>
          <w:p w14:paraId="208C4A77" w14:textId="77777777" w:rsidR="00A653AA" w:rsidRDefault="00A653AA">
            <w:pPr>
              <w:rPr>
                <w:rFonts w:ascii="Arial" w:hAnsi="Arial" w:cs="Arial"/>
                <w:color w:val="C00000"/>
                <w:sz w:val="24"/>
                <w:szCs w:val="24"/>
              </w:rPr>
            </w:pPr>
            <w:r w:rsidRPr="00A63B8E">
              <w:rPr>
                <w:rFonts w:ascii="Arial" w:hAnsi="Arial" w:cs="Arial"/>
                <w:color w:val="C00000"/>
                <w:sz w:val="24"/>
                <w:szCs w:val="24"/>
              </w:rPr>
              <w:t>During SFY 2026,</w:t>
            </w:r>
            <w:r w:rsidRPr="00A63B8E">
              <w:rPr>
                <w:rFonts w:ascii="Arial" w:eastAsiaTheme="minorEastAsia" w:hAnsi="Arial" w:cs="Arial"/>
                <w:color w:val="C00000"/>
                <w:kern w:val="24"/>
                <w:sz w:val="24"/>
                <w:szCs w:val="24"/>
              </w:rPr>
              <w:t xml:space="preserve"> There</w:t>
            </w:r>
            <w:r w:rsidRPr="00A63B8E">
              <w:rPr>
                <w:rFonts w:ascii="Arial" w:hAnsi="Arial" w:cs="Arial"/>
                <w:color w:val="C00000"/>
                <w:sz w:val="24"/>
                <w:szCs w:val="24"/>
              </w:rPr>
              <w:t xml:space="preserve"> are 58 units under master lease representing 97 beds statewide under SAP.  Site locations were clustered locations in multi-family apartment dwellings or single-family residences.  There were</w:t>
            </w:r>
            <w:r w:rsidRPr="00F1498D">
              <w:rPr>
                <w:rFonts w:ascii="Arial" w:hAnsi="Arial" w:cs="Arial"/>
                <w:color w:val="C00000"/>
                <w:sz w:val="24"/>
                <w:szCs w:val="24"/>
              </w:rPr>
              <w:t xml:space="preserve"> 28 leased units representing 30 beds</w:t>
            </w:r>
            <w:r w:rsidRPr="00A63B8E">
              <w:rPr>
                <w:rFonts w:ascii="Arial" w:hAnsi="Arial" w:cs="Arial"/>
                <w:color w:val="C00000"/>
                <w:sz w:val="24"/>
                <w:szCs w:val="24"/>
              </w:rPr>
              <w:t xml:space="preserve"> statewide under SHP in scattered and clustered locations.  Dwellings were in multi-family apartment dwellings or single-family residences. For TCM, there were 8 single-family residences leased, representing 24 beds in the Newark area.  These TCM residences will be vacated by June 30, 2026, due to the end of the vendor contract period.</w:t>
            </w:r>
          </w:p>
          <w:p w14:paraId="41118754" w14:textId="77777777" w:rsidR="00A653AA" w:rsidRDefault="00A653AA">
            <w:pPr>
              <w:rPr>
                <w:rFonts w:ascii="Arial" w:hAnsi="Arial" w:cs="Arial"/>
                <w:color w:val="C00000"/>
                <w:sz w:val="24"/>
                <w:szCs w:val="24"/>
              </w:rPr>
            </w:pPr>
          </w:p>
          <w:p w14:paraId="58818206" w14:textId="77777777" w:rsidR="00A653AA" w:rsidRPr="00A63B8E" w:rsidRDefault="00A653AA">
            <w:pPr>
              <w:rPr>
                <w:rFonts w:ascii="Arial" w:hAnsi="Arial" w:cs="Arial"/>
                <w:color w:val="C00000"/>
                <w:sz w:val="24"/>
                <w:szCs w:val="24"/>
              </w:rPr>
            </w:pPr>
            <w:r>
              <w:rPr>
                <w:rFonts w:ascii="Arial" w:hAnsi="Arial" w:cs="Arial"/>
                <w:color w:val="C00000"/>
                <w:sz w:val="24"/>
                <w:szCs w:val="24"/>
              </w:rPr>
              <w:t>I</w:t>
            </w:r>
            <w:r w:rsidRPr="00C667ED">
              <w:rPr>
                <w:rFonts w:ascii="Arial" w:hAnsi="Arial" w:cs="Arial"/>
                <w:color w:val="C00000"/>
                <w:sz w:val="24"/>
                <w:szCs w:val="24"/>
              </w:rPr>
              <w:t xml:space="preserve">t is our preference that </w:t>
            </w:r>
            <w:r>
              <w:rPr>
                <w:rFonts w:ascii="Arial" w:hAnsi="Arial" w:cs="Arial"/>
                <w:color w:val="C00000"/>
                <w:sz w:val="24"/>
                <w:szCs w:val="24"/>
              </w:rPr>
              <w:t>any proposed</w:t>
            </w:r>
            <w:r w:rsidRPr="00C667ED">
              <w:rPr>
                <w:rFonts w:ascii="Arial" w:hAnsi="Arial" w:cs="Arial"/>
                <w:color w:val="C00000"/>
                <w:sz w:val="24"/>
                <w:szCs w:val="24"/>
              </w:rPr>
              <w:t xml:space="preserve"> site locations be fully approved and operational for client admission within three (3) months following contract execution.  </w:t>
            </w:r>
          </w:p>
          <w:p w14:paraId="7B65F838" w14:textId="77777777" w:rsidR="00A653AA" w:rsidRPr="00A63B8E" w:rsidRDefault="00A653AA">
            <w:pPr>
              <w:rPr>
                <w:rFonts w:ascii="Arial" w:hAnsi="Arial" w:cs="Arial"/>
                <w:color w:val="C00000"/>
                <w:sz w:val="24"/>
                <w:szCs w:val="24"/>
              </w:rPr>
            </w:pPr>
          </w:p>
          <w:p w14:paraId="11F06698" w14:textId="77777777" w:rsidR="00A653AA" w:rsidRDefault="00A653AA">
            <w:pPr>
              <w:rPr>
                <w:rFonts w:ascii="Arial" w:hAnsi="Arial" w:cs="Arial"/>
                <w:color w:val="C00000"/>
                <w:sz w:val="24"/>
                <w:szCs w:val="24"/>
              </w:rPr>
            </w:pPr>
            <w:r w:rsidRPr="00A63B8E">
              <w:rPr>
                <w:rFonts w:ascii="Arial" w:hAnsi="Arial" w:cs="Arial"/>
                <w:color w:val="C00000"/>
                <w:sz w:val="24"/>
                <w:szCs w:val="24"/>
              </w:rPr>
              <w:lastRenderedPageBreak/>
              <w:t>During SFY 2026, there were two vendors under contract from previous RFP# HSS-21-009R.  Annual budget for master lease services under SAP/SHP are approximately $2,996,000 and the annual budget for TCM is approximately $218,000.</w:t>
            </w:r>
          </w:p>
          <w:p w14:paraId="4E9C9E93" w14:textId="77777777" w:rsidR="00A653AA" w:rsidRDefault="00A653AA">
            <w:pPr>
              <w:rPr>
                <w:rFonts w:ascii="Arial" w:hAnsi="Arial" w:cs="Arial"/>
                <w:color w:val="C00000"/>
                <w:sz w:val="24"/>
                <w:szCs w:val="24"/>
              </w:rPr>
            </w:pPr>
          </w:p>
          <w:p w14:paraId="697C4092" w14:textId="77777777" w:rsidR="00A653AA" w:rsidRDefault="00A653AA">
            <w:pPr>
              <w:rPr>
                <w:rFonts w:ascii="Arial" w:hAnsi="Arial" w:cs="Arial"/>
                <w:color w:val="C00000"/>
                <w:sz w:val="24"/>
                <w:szCs w:val="24"/>
              </w:rPr>
            </w:pPr>
            <w:r w:rsidRPr="00A63B8E">
              <w:rPr>
                <w:rFonts w:ascii="Arial" w:hAnsi="Arial" w:cs="Arial"/>
                <w:color w:val="C00000"/>
                <w:sz w:val="24"/>
                <w:szCs w:val="24"/>
              </w:rPr>
              <w:t xml:space="preserve">During SFY 2025, approximately 41 unduplicated persons were provided a lease under SAP/SHP.  In SAP, length of stay can vary between 1-5 years pending income eligibility, lease compliance, and client choice.  In SHP, client’s/tenants’ length of stay has been 8-10 years.  </w:t>
            </w:r>
          </w:p>
          <w:p w14:paraId="5EC612B4" w14:textId="77777777" w:rsidR="00A653AA" w:rsidRDefault="00A653AA">
            <w:pPr>
              <w:rPr>
                <w:rFonts w:ascii="Arial" w:hAnsi="Arial" w:cs="Arial"/>
                <w:color w:val="C00000"/>
                <w:sz w:val="24"/>
                <w:szCs w:val="24"/>
              </w:rPr>
            </w:pPr>
          </w:p>
          <w:p w14:paraId="6FC87248" w14:textId="77777777" w:rsidR="00A653AA" w:rsidRPr="00B022FA" w:rsidRDefault="00A653AA">
            <w:pPr>
              <w:rPr>
                <w:rFonts w:ascii="Arial" w:hAnsi="Arial" w:cs="Arial"/>
                <w:sz w:val="24"/>
                <w:szCs w:val="24"/>
              </w:rPr>
            </w:pPr>
            <w:r w:rsidRPr="000B2B16">
              <w:rPr>
                <w:rFonts w:ascii="Arial" w:hAnsi="Arial" w:cs="Arial"/>
                <w:color w:val="C00000"/>
                <w:sz w:val="24"/>
                <w:szCs w:val="24"/>
              </w:rPr>
              <w:t>For SAP/SHP, if transitional planning is necessary, it is our expectation that all transition-related activities be fully resolved within five (5) months following contract execution.</w:t>
            </w:r>
          </w:p>
        </w:tc>
      </w:tr>
      <w:bookmarkEnd w:id="2"/>
    </w:tbl>
    <w:p w14:paraId="48498A8D" w14:textId="77777777" w:rsidR="00A653AA" w:rsidRPr="00B022FA" w:rsidRDefault="00A653AA" w:rsidP="00A653AA">
      <w:pPr>
        <w:spacing w:after="0"/>
        <w:rPr>
          <w:rFonts w:ascii="Arial" w:hAnsi="Arial" w:cs="Arial"/>
          <w:b/>
          <w:bCs/>
          <w:sz w:val="24"/>
          <w:szCs w:val="24"/>
          <w:u w:val="single"/>
        </w:rPr>
      </w:pPr>
    </w:p>
    <w:p w14:paraId="48550EAD" w14:textId="77777777" w:rsidR="00A653AA" w:rsidRPr="00B022FA" w:rsidRDefault="00A653AA" w:rsidP="00A653AA">
      <w:pPr>
        <w:pStyle w:val="paragraph"/>
        <w:spacing w:before="0" w:beforeAutospacing="0" w:after="0" w:afterAutospacing="0"/>
        <w:textAlignment w:val="baseline"/>
        <w:rPr>
          <w:rFonts w:ascii="Arial" w:hAnsi="Arial" w:cs="Arial"/>
          <w:u w:val="single"/>
        </w:rPr>
      </w:pPr>
      <w:r w:rsidRPr="00B022FA">
        <w:rPr>
          <w:rStyle w:val="normaltextrun"/>
          <w:rFonts w:ascii="Arial" w:hAnsi="Arial" w:cs="Arial"/>
          <w:b/>
          <w:bCs/>
          <w:u w:val="single"/>
        </w:rPr>
        <w:t>Adherence to Policies and Procedures</w:t>
      </w:r>
    </w:p>
    <w:p w14:paraId="0220D952" w14:textId="77777777" w:rsidR="00A653AA" w:rsidRPr="00B022FA" w:rsidRDefault="00A653AA" w:rsidP="00A653AA">
      <w:pPr>
        <w:jc w:val="both"/>
        <w:rPr>
          <w:rFonts w:ascii="Arial" w:eastAsia="Times New Roman" w:hAnsi="Arial" w:cs="Arial"/>
          <w:sz w:val="24"/>
          <w:szCs w:val="24"/>
        </w:rPr>
      </w:pPr>
      <w:r w:rsidRPr="00B022FA">
        <w:rPr>
          <w:rFonts w:ascii="Arial" w:eastAsia="Times New Roman" w:hAnsi="Arial" w:cs="Arial"/>
          <w:sz w:val="24"/>
          <w:szCs w:val="24"/>
        </w:rPr>
        <w:t>Vendor is required to adhere to all federal, state and DSAMH policies, processes, procedures, requirements, rules, laws, and regulations, including, but not limited to, those listed in this RFP. In settings where these policies do not apply in part or full, the Vendor must detail this and obtain written approval from DSAMH.  Such policies include but are not limited to:</w:t>
      </w:r>
    </w:p>
    <w:p w14:paraId="413DC36E" w14:textId="77777777" w:rsidR="00A653AA" w:rsidRPr="00B022FA" w:rsidRDefault="00A653AA" w:rsidP="00A653AA">
      <w:pPr>
        <w:pStyle w:val="ListParagraph"/>
        <w:widowControl w:val="0"/>
        <w:numPr>
          <w:ilvl w:val="0"/>
          <w:numId w:val="1"/>
        </w:numPr>
        <w:spacing w:after="0"/>
        <w:ind w:right="-29"/>
        <w:rPr>
          <w:rFonts w:ascii="Arial" w:hAnsi="Arial" w:cs="Arial"/>
          <w:sz w:val="24"/>
          <w:szCs w:val="24"/>
        </w:rPr>
      </w:pPr>
      <w:r w:rsidRPr="00B022FA">
        <w:rPr>
          <w:rFonts w:ascii="Arial" w:hAnsi="Arial" w:cs="Arial"/>
          <w:sz w:val="24"/>
          <w:szCs w:val="24"/>
        </w:rPr>
        <w:t>Delaware Code</w:t>
      </w:r>
    </w:p>
    <w:p w14:paraId="797F25FB" w14:textId="77777777" w:rsidR="00A653AA" w:rsidRPr="00B022FA" w:rsidRDefault="00A653AA" w:rsidP="00A653AA">
      <w:pPr>
        <w:pStyle w:val="ListParagraph"/>
        <w:widowControl w:val="0"/>
        <w:numPr>
          <w:ilvl w:val="1"/>
          <w:numId w:val="1"/>
        </w:numPr>
        <w:spacing w:after="0"/>
        <w:ind w:right="-29"/>
        <w:rPr>
          <w:rFonts w:ascii="Arial" w:hAnsi="Arial" w:cs="Arial"/>
          <w:sz w:val="24"/>
          <w:szCs w:val="24"/>
        </w:rPr>
      </w:pPr>
      <w:r w:rsidRPr="00B022FA">
        <w:rPr>
          <w:rFonts w:ascii="Arial" w:hAnsi="Arial" w:cs="Arial"/>
          <w:sz w:val="24"/>
          <w:szCs w:val="24"/>
        </w:rPr>
        <w:t xml:space="preserve">Title 6, Subtitle II, Chapter 46 Fair Housing Act </w:t>
      </w:r>
      <w:hyperlink r:id="rId12" w:history="1">
        <w:r w:rsidRPr="00B022FA">
          <w:rPr>
            <w:rFonts w:ascii="Arial" w:hAnsi="Arial" w:cs="Arial"/>
            <w:sz w:val="24"/>
            <w:szCs w:val="24"/>
            <w:u w:val="single"/>
          </w:rPr>
          <w:t>Delaware Code Online</w:t>
        </w:r>
      </w:hyperlink>
    </w:p>
    <w:p w14:paraId="1DE108EB" w14:textId="77777777" w:rsidR="00A653AA" w:rsidRPr="00B022FA" w:rsidRDefault="00A653AA" w:rsidP="00A653AA">
      <w:pPr>
        <w:pStyle w:val="ListParagraph"/>
        <w:widowControl w:val="0"/>
        <w:numPr>
          <w:ilvl w:val="1"/>
          <w:numId w:val="1"/>
        </w:numPr>
        <w:spacing w:after="0"/>
        <w:ind w:right="-29"/>
        <w:rPr>
          <w:rFonts w:ascii="Arial" w:hAnsi="Arial" w:cs="Arial"/>
          <w:sz w:val="24"/>
          <w:szCs w:val="24"/>
        </w:rPr>
      </w:pPr>
      <w:r w:rsidRPr="00B022FA">
        <w:rPr>
          <w:rFonts w:ascii="Arial" w:hAnsi="Arial" w:cs="Arial"/>
          <w:sz w:val="24"/>
          <w:szCs w:val="24"/>
        </w:rPr>
        <w:t xml:space="preserve">Title 25, Part III Residential Landlord-Tenant Code Chapter 51, 53, 54, 55, 56, 57, 59 </w:t>
      </w:r>
      <w:hyperlink r:id="rId13" w:history="1">
        <w:r w:rsidRPr="00B022FA">
          <w:rPr>
            <w:rFonts w:ascii="Arial" w:hAnsi="Arial" w:cs="Arial"/>
            <w:sz w:val="24"/>
            <w:szCs w:val="24"/>
            <w:u w:val="single"/>
          </w:rPr>
          <w:t>Delaware Code Online</w:t>
        </w:r>
      </w:hyperlink>
      <w:r w:rsidRPr="00B022FA">
        <w:rPr>
          <w:rFonts w:ascii="Arial" w:hAnsi="Arial" w:cs="Arial"/>
          <w:sz w:val="24"/>
          <w:szCs w:val="24"/>
        </w:rPr>
        <w:t xml:space="preserve">  *Landlord-Tenant Code </w:t>
      </w:r>
      <w:r>
        <w:rPr>
          <w:rFonts w:ascii="Arial" w:hAnsi="Arial" w:cs="Arial"/>
          <w:sz w:val="24"/>
          <w:szCs w:val="24"/>
        </w:rPr>
        <w:t xml:space="preserve">is </w:t>
      </w:r>
      <w:r w:rsidRPr="00B022FA">
        <w:rPr>
          <w:rFonts w:ascii="Arial" w:hAnsi="Arial" w:cs="Arial"/>
          <w:sz w:val="24"/>
          <w:szCs w:val="24"/>
        </w:rPr>
        <w:t>not applicable to Transitional Case Management Bed Program</w:t>
      </w:r>
    </w:p>
    <w:p w14:paraId="5D1FE73A" w14:textId="77777777" w:rsidR="00A653AA" w:rsidRPr="00B022FA" w:rsidRDefault="00A653AA" w:rsidP="00A653AA">
      <w:pPr>
        <w:pStyle w:val="ListParagraph"/>
        <w:widowControl w:val="0"/>
        <w:numPr>
          <w:ilvl w:val="1"/>
          <w:numId w:val="1"/>
        </w:numPr>
        <w:spacing w:after="0"/>
        <w:ind w:right="-29"/>
        <w:rPr>
          <w:rFonts w:ascii="Arial" w:hAnsi="Arial" w:cs="Arial"/>
          <w:sz w:val="24"/>
          <w:szCs w:val="24"/>
        </w:rPr>
      </w:pPr>
      <w:r w:rsidRPr="00B022FA">
        <w:rPr>
          <w:rFonts w:ascii="Arial" w:hAnsi="Arial" w:cs="Arial"/>
          <w:sz w:val="24"/>
          <w:szCs w:val="24"/>
        </w:rPr>
        <w:t xml:space="preserve">Title 31, Chapter 41. Delaware State Housing Code </w:t>
      </w:r>
      <w:hyperlink r:id="rId14" w:history="1">
        <w:r w:rsidRPr="00B022FA">
          <w:rPr>
            <w:rFonts w:ascii="Arial" w:hAnsi="Arial" w:cs="Arial"/>
            <w:sz w:val="24"/>
            <w:szCs w:val="24"/>
            <w:u w:val="single"/>
          </w:rPr>
          <w:t>Delaware Code Online</w:t>
        </w:r>
      </w:hyperlink>
    </w:p>
    <w:p w14:paraId="2BF67D54" w14:textId="77777777" w:rsidR="00A653AA" w:rsidRPr="00B022FA" w:rsidRDefault="00A653AA" w:rsidP="00A653AA">
      <w:pPr>
        <w:pStyle w:val="ListParagraph"/>
        <w:widowControl w:val="0"/>
        <w:numPr>
          <w:ilvl w:val="0"/>
          <w:numId w:val="1"/>
        </w:numPr>
        <w:spacing w:after="0"/>
        <w:ind w:right="-29"/>
        <w:rPr>
          <w:rFonts w:ascii="Arial" w:hAnsi="Arial" w:cs="Arial"/>
          <w:sz w:val="24"/>
          <w:szCs w:val="24"/>
        </w:rPr>
      </w:pPr>
      <w:r w:rsidRPr="00B022FA">
        <w:rPr>
          <w:rFonts w:ascii="Arial" w:hAnsi="Arial" w:cs="Arial"/>
          <w:sz w:val="24"/>
          <w:szCs w:val="24"/>
        </w:rPr>
        <w:t xml:space="preserve">State of Delaware, Office of Management and Budget, Budget and Accounting Manual  </w:t>
      </w:r>
      <w:hyperlink r:id="rId15" w:history="1">
        <w:r w:rsidRPr="00B022FA">
          <w:rPr>
            <w:rStyle w:val="Hyperlink"/>
            <w:rFonts w:ascii="Arial" w:hAnsi="Arial" w:cs="Arial"/>
            <w:color w:val="auto"/>
            <w:sz w:val="24"/>
            <w:szCs w:val="24"/>
          </w:rPr>
          <w:t>https://budget.delaware.gov/accounting-manual/index.shtml</w:t>
        </w:r>
      </w:hyperlink>
    </w:p>
    <w:p w14:paraId="2A32D084" w14:textId="77777777" w:rsidR="00A653AA" w:rsidRPr="00B022FA" w:rsidRDefault="00A653AA" w:rsidP="00A653AA">
      <w:pPr>
        <w:pStyle w:val="paragraph"/>
        <w:numPr>
          <w:ilvl w:val="0"/>
          <w:numId w:val="1"/>
        </w:numPr>
        <w:spacing w:before="0" w:beforeAutospacing="0" w:after="0" w:afterAutospacing="0"/>
        <w:jc w:val="both"/>
        <w:textAlignment w:val="baseline"/>
        <w:rPr>
          <w:rFonts w:ascii="Arial" w:hAnsi="Arial" w:cs="Arial"/>
        </w:rPr>
      </w:pPr>
      <w:hyperlink r:id="rId16" w:history="1">
        <w:r w:rsidRPr="00B022FA">
          <w:rPr>
            <w:rStyle w:val="Hyperlink"/>
            <w:rFonts w:ascii="Arial" w:hAnsi="Arial" w:cs="Arial"/>
            <w:color w:val="auto"/>
          </w:rPr>
          <w:t>DSAMH011 – Trauma Informed Care</w:t>
        </w:r>
      </w:hyperlink>
    </w:p>
    <w:p w14:paraId="7A7618FD" w14:textId="77777777" w:rsidR="00A653AA" w:rsidRPr="00B022FA" w:rsidRDefault="00A653AA" w:rsidP="00A653AA">
      <w:pPr>
        <w:pStyle w:val="paragraph"/>
        <w:numPr>
          <w:ilvl w:val="0"/>
          <w:numId w:val="1"/>
        </w:numPr>
        <w:spacing w:before="0" w:beforeAutospacing="0" w:after="0" w:afterAutospacing="0"/>
        <w:jc w:val="both"/>
        <w:textAlignment w:val="baseline"/>
        <w:rPr>
          <w:rFonts w:ascii="Arial" w:hAnsi="Arial" w:cs="Arial"/>
        </w:rPr>
      </w:pPr>
      <w:hyperlink r:id="rId17" w:history="1">
        <w:r w:rsidRPr="5009583F">
          <w:rPr>
            <w:rFonts w:ascii="Arial" w:eastAsiaTheme="minorEastAsia" w:hAnsi="Arial" w:cs="Arial"/>
            <w:u w:val="single"/>
            <w:shd w:val="clear" w:color="auto" w:fill="FFFFFF"/>
          </w:rPr>
          <w:t>DSAMH012 – Provision of Culturally and Linguistically Appropriate Services</w:t>
        </w:r>
      </w:hyperlink>
    </w:p>
    <w:p w14:paraId="5366F01C" w14:textId="77777777" w:rsidR="00A653AA" w:rsidRPr="00B022FA" w:rsidRDefault="00A653AA" w:rsidP="00A653AA">
      <w:pPr>
        <w:pStyle w:val="ListParagraph"/>
        <w:widowControl w:val="0"/>
        <w:numPr>
          <w:ilvl w:val="0"/>
          <w:numId w:val="1"/>
        </w:numPr>
        <w:spacing w:after="0" w:line="240" w:lineRule="auto"/>
        <w:ind w:right="-29"/>
        <w:contextualSpacing w:val="0"/>
        <w:jc w:val="both"/>
        <w:textAlignment w:val="baseline"/>
        <w:rPr>
          <w:rFonts w:ascii="Arial" w:hAnsi="Arial" w:cs="Arial"/>
          <w:sz w:val="24"/>
          <w:szCs w:val="24"/>
        </w:rPr>
      </w:pPr>
      <w:hyperlink r:id="rId18" w:history="1">
        <w:r w:rsidRPr="00B022FA">
          <w:rPr>
            <w:rFonts w:ascii="Arial" w:hAnsi="Arial" w:cs="Arial"/>
            <w:sz w:val="24"/>
            <w:szCs w:val="24"/>
            <w:u w:val="single"/>
            <w:shd w:val="clear" w:color="auto" w:fill="FFFFFF"/>
          </w:rPr>
          <w:t>DSAMH029 – Community Incident Reporting Policy</w:t>
        </w:r>
      </w:hyperlink>
    </w:p>
    <w:p w14:paraId="2F163951" w14:textId="77777777" w:rsidR="00A653AA" w:rsidRPr="00B022FA" w:rsidRDefault="00A653AA" w:rsidP="00A653AA">
      <w:pPr>
        <w:pStyle w:val="paragraph"/>
        <w:numPr>
          <w:ilvl w:val="0"/>
          <w:numId w:val="1"/>
        </w:numPr>
        <w:spacing w:before="0" w:beforeAutospacing="0" w:after="0" w:afterAutospacing="0"/>
        <w:jc w:val="both"/>
        <w:textAlignment w:val="baseline"/>
        <w:rPr>
          <w:rFonts w:ascii="Arial" w:hAnsi="Arial" w:cs="Arial"/>
        </w:rPr>
      </w:pPr>
      <w:hyperlink r:id="rId19" w:tgtFrame="_blank" w:history="1">
        <w:r w:rsidRPr="00B022FA">
          <w:rPr>
            <w:rStyle w:val="normaltextrun"/>
            <w:rFonts w:ascii="Arial" w:hAnsi="Arial" w:cs="Arial"/>
            <w:u w:val="single"/>
          </w:rPr>
          <w:t>Criminal Background Check</w:t>
        </w:r>
      </w:hyperlink>
      <w:r w:rsidRPr="00B022FA">
        <w:rPr>
          <w:rStyle w:val="eop"/>
          <w:rFonts w:ascii="Arial" w:hAnsi="Arial" w:cs="Arial"/>
        </w:rPr>
        <w:t> </w:t>
      </w:r>
    </w:p>
    <w:p w14:paraId="02A1956C" w14:textId="77777777" w:rsidR="00A653AA" w:rsidRPr="00B022FA" w:rsidRDefault="00A653AA" w:rsidP="00A653AA">
      <w:pPr>
        <w:pStyle w:val="paragraph"/>
        <w:numPr>
          <w:ilvl w:val="0"/>
          <w:numId w:val="1"/>
        </w:numPr>
        <w:spacing w:before="0" w:beforeAutospacing="0" w:after="0" w:afterAutospacing="0"/>
        <w:jc w:val="both"/>
        <w:textAlignment w:val="baseline"/>
        <w:rPr>
          <w:rFonts w:ascii="Arial" w:hAnsi="Arial" w:cs="Arial"/>
        </w:rPr>
      </w:pPr>
      <w:hyperlink r:id="rId20" w:tgtFrame="_blank" w:history="1">
        <w:r w:rsidRPr="00B022FA">
          <w:rPr>
            <w:rStyle w:val="normaltextrun"/>
            <w:rFonts w:ascii="Arial" w:hAnsi="Arial" w:cs="Arial"/>
            <w:u w:val="single"/>
          </w:rPr>
          <w:t>Human Subjects Review Board</w:t>
        </w:r>
      </w:hyperlink>
      <w:r w:rsidRPr="00B022FA">
        <w:rPr>
          <w:rStyle w:val="eop"/>
          <w:rFonts w:ascii="Arial" w:hAnsi="Arial" w:cs="Arial"/>
        </w:rPr>
        <w:t> </w:t>
      </w:r>
    </w:p>
    <w:p w14:paraId="0BEDFE2B" w14:textId="77777777" w:rsidR="00A653AA" w:rsidRPr="00B022FA" w:rsidRDefault="00A653AA" w:rsidP="00A653AA">
      <w:pPr>
        <w:pStyle w:val="paragraph"/>
        <w:numPr>
          <w:ilvl w:val="0"/>
          <w:numId w:val="1"/>
        </w:numPr>
        <w:spacing w:before="0" w:beforeAutospacing="0" w:after="0" w:afterAutospacing="0"/>
        <w:jc w:val="both"/>
        <w:textAlignment w:val="baseline"/>
        <w:rPr>
          <w:rStyle w:val="eop"/>
          <w:rFonts w:ascii="Arial" w:hAnsi="Arial" w:cs="Arial"/>
        </w:rPr>
      </w:pPr>
      <w:hyperlink r:id="rId21" w:tgtFrame="_blank" w:history="1">
        <w:r w:rsidRPr="00B022FA">
          <w:rPr>
            <w:rStyle w:val="normaltextrun"/>
            <w:rFonts w:ascii="Arial" w:hAnsi="Arial" w:cs="Arial"/>
            <w:u w:val="single"/>
          </w:rPr>
          <w:t>Inclusion</w:t>
        </w:r>
      </w:hyperlink>
      <w:r w:rsidRPr="00B022FA">
        <w:rPr>
          <w:rStyle w:val="eop"/>
          <w:rFonts w:ascii="Arial" w:hAnsi="Arial" w:cs="Arial"/>
        </w:rPr>
        <w:t> </w:t>
      </w:r>
    </w:p>
    <w:p w14:paraId="443C785D" w14:textId="77777777" w:rsidR="00A653AA" w:rsidRPr="00B022FA" w:rsidRDefault="00A653AA" w:rsidP="00A653AA">
      <w:pPr>
        <w:pStyle w:val="paragraph"/>
        <w:numPr>
          <w:ilvl w:val="0"/>
          <w:numId w:val="1"/>
        </w:numPr>
        <w:spacing w:before="0" w:beforeAutospacing="0" w:after="0" w:afterAutospacing="0"/>
        <w:jc w:val="both"/>
        <w:textAlignment w:val="baseline"/>
        <w:rPr>
          <w:rStyle w:val="eop"/>
          <w:rFonts w:ascii="Arial" w:hAnsi="Arial" w:cs="Arial"/>
        </w:rPr>
      </w:pPr>
      <w:r w:rsidRPr="00B022FA">
        <w:rPr>
          <w:rStyle w:val="eop"/>
          <w:rFonts w:ascii="Arial" w:hAnsi="Arial" w:cs="Arial"/>
        </w:rPr>
        <w:t>The Fair Housing Act, 42 U.S.C. 3601 et seq.</w:t>
      </w:r>
    </w:p>
    <w:p w14:paraId="5EE24FDB" w14:textId="77777777" w:rsidR="00A653AA" w:rsidRPr="00B022FA" w:rsidRDefault="00A653AA" w:rsidP="00A653AA">
      <w:pPr>
        <w:pStyle w:val="paragraph"/>
        <w:numPr>
          <w:ilvl w:val="0"/>
          <w:numId w:val="1"/>
        </w:numPr>
        <w:spacing w:before="0" w:beforeAutospacing="0" w:after="0" w:afterAutospacing="0"/>
        <w:jc w:val="both"/>
        <w:textAlignment w:val="baseline"/>
        <w:rPr>
          <w:rStyle w:val="eop"/>
          <w:rFonts w:ascii="Arial" w:hAnsi="Arial" w:cs="Arial"/>
        </w:rPr>
      </w:pPr>
      <w:r w:rsidRPr="00B022FA">
        <w:rPr>
          <w:rFonts w:ascii="Arial" w:hAnsi="Arial" w:cs="Arial"/>
        </w:rPr>
        <w:t>Title VI of the Civil Rights Act of 1964, 42 USC 2000d et seq.</w:t>
      </w:r>
    </w:p>
    <w:p w14:paraId="2B1E6B70" w14:textId="77777777" w:rsidR="00A653AA" w:rsidRPr="00B022FA" w:rsidRDefault="00A653AA" w:rsidP="00A653AA">
      <w:pPr>
        <w:pStyle w:val="ListParagraph"/>
        <w:widowControl w:val="0"/>
        <w:numPr>
          <w:ilvl w:val="0"/>
          <w:numId w:val="10"/>
        </w:numPr>
        <w:tabs>
          <w:tab w:val="left" w:pos="1440"/>
        </w:tabs>
        <w:spacing w:after="0" w:line="240" w:lineRule="auto"/>
        <w:ind w:right="-30"/>
        <w:rPr>
          <w:rFonts w:ascii="Arial" w:hAnsi="Arial" w:cs="Arial"/>
          <w:sz w:val="24"/>
          <w:szCs w:val="24"/>
        </w:rPr>
      </w:pPr>
      <w:r w:rsidRPr="00B022FA">
        <w:rPr>
          <w:rFonts w:ascii="Arial" w:hAnsi="Arial" w:cs="Arial"/>
          <w:sz w:val="24"/>
          <w:szCs w:val="24"/>
        </w:rPr>
        <w:t>The Drug-Free Workplace Act of 1988.</w:t>
      </w:r>
    </w:p>
    <w:p w14:paraId="490C6A39" w14:textId="77777777" w:rsidR="00A653AA" w:rsidRPr="00B022FA" w:rsidRDefault="00A653AA" w:rsidP="00A653AA">
      <w:pPr>
        <w:pStyle w:val="ListParagraph"/>
        <w:widowControl w:val="0"/>
        <w:numPr>
          <w:ilvl w:val="0"/>
          <w:numId w:val="10"/>
        </w:numPr>
        <w:tabs>
          <w:tab w:val="left" w:pos="1440"/>
        </w:tabs>
        <w:spacing w:after="0" w:line="240" w:lineRule="auto"/>
        <w:ind w:right="-30"/>
        <w:rPr>
          <w:rFonts w:ascii="Arial" w:hAnsi="Arial" w:cs="Arial"/>
          <w:sz w:val="24"/>
          <w:szCs w:val="24"/>
        </w:rPr>
      </w:pPr>
      <w:r w:rsidRPr="00B022FA">
        <w:rPr>
          <w:rFonts w:ascii="Arial" w:hAnsi="Arial" w:cs="Arial"/>
          <w:sz w:val="24"/>
          <w:szCs w:val="24"/>
        </w:rPr>
        <w:t>The Americans with Disabilities Act (PL 101-336).</w:t>
      </w:r>
    </w:p>
    <w:p w14:paraId="7C53F1EF" w14:textId="77777777" w:rsidR="00A653AA" w:rsidRPr="00B022FA" w:rsidRDefault="00A653AA" w:rsidP="00A653AA">
      <w:pPr>
        <w:pStyle w:val="ListParagraph"/>
        <w:widowControl w:val="0"/>
        <w:numPr>
          <w:ilvl w:val="0"/>
          <w:numId w:val="10"/>
        </w:numPr>
        <w:tabs>
          <w:tab w:val="left" w:pos="1440"/>
        </w:tabs>
        <w:spacing w:after="0" w:line="240" w:lineRule="auto"/>
        <w:ind w:right="-30"/>
        <w:rPr>
          <w:rFonts w:ascii="Arial" w:hAnsi="Arial" w:cs="Arial"/>
          <w:sz w:val="24"/>
          <w:szCs w:val="24"/>
        </w:rPr>
      </w:pPr>
      <w:r w:rsidRPr="00B022FA">
        <w:rPr>
          <w:rFonts w:ascii="Arial" w:eastAsia="Aptos" w:hAnsi="Arial" w:cs="Arial"/>
          <w:kern w:val="2"/>
          <w:sz w:val="24"/>
          <w:szCs w:val="24"/>
          <w14:ligatures w14:val="standardContextual"/>
        </w:rPr>
        <w:t>HIPAA and 42 CFR Part 2.</w:t>
      </w:r>
    </w:p>
    <w:p w14:paraId="3B7546E0" w14:textId="77777777" w:rsidR="00A653AA" w:rsidRPr="00B022FA" w:rsidRDefault="00A653AA" w:rsidP="00A653AA">
      <w:pPr>
        <w:pStyle w:val="ListParagraph"/>
        <w:widowControl w:val="0"/>
        <w:numPr>
          <w:ilvl w:val="0"/>
          <w:numId w:val="1"/>
        </w:numPr>
        <w:spacing w:after="0"/>
        <w:ind w:right="-29"/>
        <w:rPr>
          <w:rFonts w:ascii="Arial" w:hAnsi="Arial" w:cs="Arial"/>
          <w:sz w:val="24"/>
          <w:szCs w:val="24"/>
        </w:rPr>
      </w:pPr>
      <w:r w:rsidRPr="00B022FA">
        <w:rPr>
          <w:rFonts w:ascii="Arial" w:hAnsi="Arial" w:cs="Arial"/>
          <w:sz w:val="24"/>
          <w:szCs w:val="24"/>
        </w:rPr>
        <w:t>Any applicable l</w:t>
      </w:r>
      <w:r w:rsidRPr="00B022FA">
        <w:rPr>
          <w:rFonts w:ascii="Arial" w:eastAsia="Aptos" w:hAnsi="Arial" w:cs="Arial"/>
          <w:kern w:val="2"/>
          <w:sz w:val="24"/>
          <w:szCs w:val="24"/>
          <w14:ligatures w14:val="standardContextual"/>
        </w:rPr>
        <w:t>ocal building, zoning, and fire safety codes.</w:t>
      </w:r>
    </w:p>
    <w:p w14:paraId="1D2CCC54" w14:textId="77777777" w:rsidR="00A653AA" w:rsidRPr="00B022FA" w:rsidRDefault="00A653AA" w:rsidP="00A653AA">
      <w:pPr>
        <w:pStyle w:val="ListParagraph"/>
        <w:widowControl w:val="0"/>
        <w:spacing w:after="0"/>
        <w:ind w:right="-29"/>
        <w:rPr>
          <w:rFonts w:ascii="Arial" w:hAnsi="Arial" w:cs="Arial"/>
          <w:sz w:val="24"/>
          <w:szCs w:val="24"/>
        </w:rPr>
      </w:pPr>
    </w:p>
    <w:p w14:paraId="5AA77AE5" w14:textId="77777777" w:rsidR="00A653AA" w:rsidRPr="00B022FA" w:rsidRDefault="00A653AA" w:rsidP="00A653AA">
      <w:pPr>
        <w:pStyle w:val="paragraph"/>
        <w:spacing w:before="0" w:beforeAutospacing="0" w:after="0" w:afterAutospacing="0"/>
        <w:jc w:val="both"/>
        <w:textAlignment w:val="baseline"/>
        <w:rPr>
          <w:rFonts w:ascii="Arial" w:hAnsi="Arial" w:cs="Arial"/>
        </w:rPr>
      </w:pPr>
      <w:r w:rsidRPr="00B022FA">
        <w:rPr>
          <w:rStyle w:val="normaltextrun"/>
          <w:rFonts w:ascii="Arial" w:hAnsi="Arial" w:cs="Arial"/>
        </w:rPr>
        <w:t>DSAMH reserves the right to modify, replace, or add to these policies with 60 days’ notice to Vendor. In the event of a policy modification or addition of new policy, the Vendor agrees to formulate a plan, in writing, regarding the Vendor’s compliance strategy with the modified or new policy.</w:t>
      </w:r>
      <w:r w:rsidRPr="00B022FA">
        <w:rPr>
          <w:rStyle w:val="eop"/>
          <w:rFonts w:ascii="Arial" w:hAnsi="Arial" w:cs="Arial"/>
        </w:rPr>
        <w:t> </w:t>
      </w:r>
    </w:p>
    <w:p w14:paraId="66228EDD" w14:textId="77777777" w:rsidR="00A653AA" w:rsidRPr="00B022FA" w:rsidRDefault="00A653AA" w:rsidP="00A653AA">
      <w:pPr>
        <w:pStyle w:val="paragraph"/>
        <w:spacing w:before="0" w:beforeAutospacing="0" w:after="0" w:afterAutospacing="0"/>
        <w:textAlignment w:val="baseline"/>
        <w:rPr>
          <w:rStyle w:val="eop"/>
          <w:rFonts w:ascii="Arial" w:hAnsi="Arial" w:cs="Arial"/>
        </w:rPr>
      </w:pPr>
      <w:r w:rsidRPr="00B022FA">
        <w:rPr>
          <w:rStyle w:val="eop"/>
          <w:rFonts w:ascii="Arial" w:hAnsi="Arial" w:cs="Arial"/>
        </w:rPr>
        <w:t> </w:t>
      </w:r>
    </w:p>
    <w:p w14:paraId="6FB18967" w14:textId="77777777" w:rsidR="00D76FBD" w:rsidRDefault="00D76FBD" w:rsidP="00A653AA">
      <w:pPr>
        <w:pStyle w:val="paragraph"/>
        <w:spacing w:before="0" w:beforeAutospacing="0" w:after="0" w:afterAutospacing="0"/>
        <w:textAlignment w:val="baseline"/>
        <w:rPr>
          <w:rFonts w:ascii="Arial" w:hAnsi="Arial" w:cs="Arial"/>
          <w:b/>
          <w:bCs/>
          <w:iCs/>
          <w:u w:val="single"/>
        </w:rPr>
      </w:pPr>
    </w:p>
    <w:p w14:paraId="56CF8ECC" w14:textId="16C070BC" w:rsidR="00A653AA" w:rsidRPr="00B022FA" w:rsidRDefault="00A653AA" w:rsidP="00A653AA">
      <w:pPr>
        <w:pStyle w:val="paragraph"/>
        <w:spacing w:before="0" w:beforeAutospacing="0" w:after="0" w:afterAutospacing="0"/>
        <w:textAlignment w:val="baseline"/>
        <w:rPr>
          <w:rFonts w:ascii="Arial" w:hAnsi="Arial" w:cs="Arial"/>
          <w:b/>
          <w:bCs/>
          <w:iCs/>
          <w:u w:val="single"/>
        </w:rPr>
      </w:pPr>
      <w:r w:rsidRPr="00B022FA">
        <w:rPr>
          <w:rFonts w:ascii="Arial" w:hAnsi="Arial" w:cs="Arial"/>
          <w:b/>
          <w:bCs/>
          <w:iCs/>
          <w:u w:val="single"/>
        </w:rPr>
        <w:lastRenderedPageBreak/>
        <w:t>Fiscal Requirements and Funding Restrictions</w:t>
      </w:r>
    </w:p>
    <w:p w14:paraId="73A61221" w14:textId="77777777" w:rsidR="00A653AA" w:rsidRPr="00F3116F" w:rsidRDefault="00A653AA" w:rsidP="00A653AA">
      <w:pPr>
        <w:jc w:val="both"/>
        <w:rPr>
          <w:rFonts w:ascii="Arial" w:eastAsia="Times New Roman" w:hAnsi="Arial" w:cs="Arial"/>
          <w:bCs/>
          <w:sz w:val="24"/>
          <w:szCs w:val="24"/>
        </w:rPr>
      </w:pPr>
      <w:bookmarkStart w:id="3" w:name="_Hlk212045291"/>
      <w:bookmarkStart w:id="4" w:name="_Hlk214888083"/>
      <w:r w:rsidRPr="00B022FA">
        <w:rPr>
          <w:rFonts w:ascii="Arial" w:eastAsia="Times New Roman" w:hAnsi="Arial" w:cs="Arial"/>
          <w:sz w:val="24"/>
          <w:szCs w:val="24"/>
        </w:rPr>
        <w:t xml:space="preserve">Selected vendor will be paid on a cost reimbursement basis. </w:t>
      </w:r>
      <w:r w:rsidRPr="00F3116F">
        <w:rPr>
          <w:rFonts w:ascii="Arial" w:eastAsia="Times New Roman" w:hAnsi="Arial" w:cs="Arial"/>
          <w:sz w:val="24"/>
          <w:szCs w:val="24"/>
        </w:rPr>
        <w:t>$</w:t>
      </w:r>
      <w:bookmarkStart w:id="5" w:name="_Hlk214888188"/>
      <w:r w:rsidRPr="00F3116F">
        <w:rPr>
          <w:rFonts w:ascii="Arial" w:eastAsia="Times New Roman" w:hAnsi="Arial" w:cs="Arial"/>
          <w:sz w:val="24"/>
          <w:szCs w:val="24"/>
        </w:rPr>
        <w:t>3,214,000</w:t>
      </w:r>
      <w:r>
        <w:rPr>
          <w:rFonts w:ascii="Arial" w:eastAsia="Times New Roman" w:hAnsi="Arial" w:cs="Arial"/>
          <w:sz w:val="24"/>
          <w:szCs w:val="24"/>
        </w:rPr>
        <w:t xml:space="preserve">, </w:t>
      </w:r>
      <w:r w:rsidRPr="00F3116F">
        <w:rPr>
          <w:rFonts w:ascii="Arial" w:eastAsia="Times New Roman" w:hAnsi="Arial" w:cs="Arial"/>
          <w:bCs/>
          <w:sz w:val="24"/>
          <w:szCs w:val="24"/>
        </w:rPr>
        <w:t>is presently available for the total service execution of this Component.  Annual funding amount determination is contingent on availability of funds and funding source priorities.</w:t>
      </w:r>
      <w:bookmarkEnd w:id="3"/>
      <w:r>
        <w:rPr>
          <w:rFonts w:ascii="Arial" w:eastAsia="Times New Roman" w:hAnsi="Arial" w:cs="Arial"/>
          <w:bCs/>
          <w:sz w:val="24"/>
          <w:szCs w:val="24"/>
        </w:rPr>
        <w:t xml:space="preserve"> </w:t>
      </w:r>
      <w:bookmarkEnd w:id="5"/>
      <w:r w:rsidRPr="00B022FA">
        <w:rPr>
          <w:rFonts w:ascii="Arial" w:eastAsia="Times New Roman" w:hAnsi="Arial" w:cs="Arial"/>
          <w:sz w:val="24"/>
          <w:szCs w:val="24"/>
        </w:rPr>
        <w:t>To participate in this program:</w:t>
      </w:r>
    </w:p>
    <w:bookmarkEnd w:id="4"/>
    <w:p w14:paraId="45127D04" w14:textId="77777777" w:rsidR="00A653AA" w:rsidRPr="00B022FA" w:rsidRDefault="00A653AA" w:rsidP="00A653AA">
      <w:pPr>
        <w:numPr>
          <w:ilvl w:val="0"/>
          <w:numId w:val="2"/>
        </w:numPr>
        <w:spacing w:after="0" w:line="240" w:lineRule="auto"/>
        <w:jc w:val="both"/>
        <w:rPr>
          <w:rFonts w:ascii="Arial" w:eastAsia="Times New Roman" w:hAnsi="Arial" w:cs="Arial"/>
          <w:sz w:val="24"/>
          <w:szCs w:val="24"/>
        </w:rPr>
      </w:pPr>
      <w:r w:rsidRPr="00B022FA">
        <w:rPr>
          <w:rFonts w:ascii="Arial" w:eastAsia="Times New Roman" w:hAnsi="Arial" w:cs="Arial"/>
          <w:sz w:val="24"/>
          <w:szCs w:val="24"/>
        </w:rPr>
        <w:t xml:space="preserve">Vendor will be required to obtain a Unique Entity ID Number, register and provide updated information as required to the System for Award Management. Information about System for Award Management can be found at: </w:t>
      </w:r>
      <w:hyperlink r:id="rId22" w:history="1">
        <w:r w:rsidRPr="00B022FA">
          <w:rPr>
            <w:rStyle w:val="Hyperlink"/>
            <w:rFonts w:ascii="Arial" w:eastAsia="Times New Roman" w:hAnsi="Arial" w:cs="Arial"/>
            <w:color w:val="auto"/>
            <w:sz w:val="24"/>
            <w:szCs w:val="24"/>
          </w:rPr>
          <w:t>https://www.sam.gov/</w:t>
        </w:r>
      </w:hyperlink>
      <w:r w:rsidRPr="00B022FA">
        <w:rPr>
          <w:rFonts w:ascii="Arial" w:eastAsia="Times New Roman" w:hAnsi="Arial" w:cs="Arial"/>
          <w:sz w:val="24"/>
          <w:szCs w:val="24"/>
        </w:rPr>
        <w:t xml:space="preserve">. </w:t>
      </w:r>
    </w:p>
    <w:p w14:paraId="7152D432" w14:textId="77777777" w:rsidR="00A653AA" w:rsidRPr="00B022FA" w:rsidRDefault="00A653AA" w:rsidP="00A653AA">
      <w:pPr>
        <w:numPr>
          <w:ilvl w:val="0"/>
          <w:numId w:val="2"/>
        </w:numPr>
        <w:spacing w:after="0" w:line="240" w:lineRule="auto"/>
        <w:jc w:val="both"/>
        <w:rPr>
          <w:rFonts w:ascii="Arial" w:eastAsia="Times New Roman" w:hAnsi="Arial" w:cs="Arial"/>
          <w:sz w:val="24"/>
          <w:szCs w:val="24"/>
        </w:rPr>
      </w:pPr>
      <w:r w:rsidRPr="00B022FA">
        <w:rPr>
          <w:rFonts w:ascii="Arial" w:eastAsia="Times New Roman" w:hAnsi="Arial" w:cs="Arial"/>
          <w:sz w:val="24"/>
          <w:szCs w:val="24"/>
        </w:rPr>
        <w:t>Vendor shall acknowledge DSAMH as a funding source in all publicity pertaining to this Scope of Work.</w:t>
      </w:r>
    </w:p>
    <w:p w14:paraId="11A388E3" w14:textId="77777777" w:rsidR="00A653AA" w:rsidRPr="00B022FA" w:rsidRDefault="00A653AA" w:rsidP="00A653AA">
      <w:pPr>
        <w:numPr>
          <w:ilvl w:val="0"/>
          <w:numId w:val="2"/>
        </w:numPr>
        <w:spacing w:after="0" w:line="240" w:lineRule="auto"/>
        <w:jc w:val="both"/>
        <w:rPr>
          <w:rFonts w:ascii="Arial" w:eastAsia="Times New Roman" w:hAnsi="Arial" w:cs="Arial"/>
          <w:sz w:val="24"/>
          <w:szCs w:val="24"/>
          <w:u w:val="single"/>
        </w:rPr>
      </w:pPr>
      <w:r w:rsidRPr="00B022FA">
        <w:rPr>
          <w:rFonts w:ascii="Arial" w:eastAsia="Times New Roman" w:hAnsi="Arial" w:cs="Arial"/>
          <w:sz w:val="24"/>
          <w:szCs w:val="24"/>
        </w:rPr>
        <w:t xml:space="preserve">Payments made will adhere to the State of Delaware, Office of Management and Budget, and Accounting Manual. </w:t>
      </w:r>
      <w:hyperlink r:id="rId23" w:history="1">
        <w:r w:rsidRPr="00B022FA">
          <w:rPr>
            <w:rStyle w:val="Hyperlink"/>
            <w:rFonts w:ascii="Arial" w:eastAsia="Times New Roman" w:hAnsi="Arial" w:cs="Arial"/>
            <w:color w:val="auto"/>
            <w:sz w:val="24"/>
            <w:szCs w:val="24"/>
          </w:rPr>
          <w:t>https://budget.delaware.gov/accounting-</w:t>
        </w:r>
      </w:hyperlink>
      <w:r w:rsidRPr="00B022FA">
        <w:rPr>
          <w:rFonts w:ascii="Arial" w:eastAsia="Times New Roman" w:hAnsi="Arial" w:cs="Arial"/>
          <w:sz w:val="24"/>
          <w:szCs w:val="24"/>
          <w:u w:val="single"/>
        </w:rPr>
        <w:t xml:space="preserve"> </w:t>
      </w:r>
      <w:hyperlink r:id="rId24" w:history="1">
        <w:r w:rsidRPr="00B022FA">
          <w:rPr>
            <w:rStyle w:val="Hyperlink"/>
            <w:rFonts w:ascii="Arial" w:eastAsia="Times New Roman" w:hAnsi="Arial" w:cs="Arial"/>
            <w:color w:val="auto"/>
            <w:sz w:val="24"/>
            <w:szCs w:val="24"/>
          </w:rPr>
          <w:t>manual/index.shtml</w:t>
        </w:r>
      </w:hyperlink>
      <w:r w:rsidRPr="00B022FA">
        <w:rPr>
          <w:rFonts w:ascii="Arial" w:eastAsia="Times New Roman" w:hAnsi="Arial" w:cs="Arial"/>
          <w:sz w:val="24"/>
          <w:szCs w:val="24"/>
          <w:u w:val="single"/>
        </w:rPr>
        <w:t>.</w:t>
      </w:r>
    </w:p>
    <w:p w14:paraId="49C736B8" w14:textId="77777777" w:rsidR="00A653AA" w:rsidRPr="00B022FA" w:rsidRDefault="00A653AA" w:rsidP="00A653AA">
      <w:pPr>
        <w:numPr>
          <w:ilvl w:val="0"/>
          <w:numId w:val="2"/>
        </w:numPr>
        <w:spacing w:after="0" w:line="240" w:lineRule="auto"/>
        <w:jc w:val="both"/>
        <w:rPr>
          <w:rFonts w:ascii="Arial" w:eastAsia="Times New Roman" w:hAnsi="Arial" w:cs="Arial"/>
          <w:sz w:val="24"/>
          <w:szCs w:val="24"/>
        </w:rPr>
      </w:pPr>
      <w:r w:rsidRPr="00B022FA">
        <w:rPr>
          <w:rFonts w:ascii="Arial" w:eastAsia="Times New Roman" w:hAnsi="Arial" w:cs="Arial"/>
          <w:sz w:val="24"/>
          <w:szCs w:val="24"/>
        </w:rPr>
        <w:t xml:space="preserve">Vendor must be a non-profit or for-profit entity that has been in operation for over five-years and has an active </w:t>
      </w:r>
      <w:bookmarkStart w:id="6" w:name="_Hlk212045745"/>
      <w:r w:rsidRPr="00B022FA">
        <w:rPr>
          <w:rFonts w:ascii="Arial" w:eastAsia="Times New Roman" w:hAnsi="Arial" w:cs="Arial"/>
          <w:sz w:val="24"/>
          <w:szCs w:val="24"/>
        </w:rPr>
        <w:t xml:space="preserve">Business License with the State of Delaware.  </w:t>
      </w:r>
      <w:bookmarkEnd w:id="6"/>
    </w:p>
    <w:p w14:paraId="7A8B0AE8" w14:textId="77777777" w:rsidR="00A653AA" w:rsidRPr="00B022FA" w:rsidRDefault="00A653AA" w:rsidP="00A653AA">
      <w:pPr>
        <w:numPr>
          <w:ilvl w:val="0"/>
          <w:numId w:val="2"/>
        </w:numPr>
        <w:spacing w:after="0" w:line="240" w:lineRule="auto"/>
        <w:jc w:val="both"/>
        <w:rPr>
          <w:rFonts w:ascii="Arial" w:eastAsia="Times New Roman" w:hAnsi="Arial" w:cs="Arial"/>
          <w:sz w:val="24"/>
          <w:szCs w:val="24"/>
        </w:rPr>
      </w:pPr>
      <w:r w:rsidRPr="00B022FA">
        <w:rPr>
          <w:rFonts w:ascii="Arial" w:eastAsia="Times New Roman" w:hAnsi="Arial" w:cs="Arial"/>
          <w:sz w:val="24"/>
          <w:szCs w:val="24"/>
        </w:rPr>
        <w:t>For a Vendor that has a contract with DSAMH in place when this RFP is issued, that Vendor must have all outstanding Corrective Action Plans for deficiencies submitted to DSAMH for approval prior to submission.</w:t>
      </w:r>
    </w:p>
    <w:p w14:paraId="432E4CDC" w14:textId="77777777" w:rsidR="00A653AA" w:rsidRPr="00B022FA" w:rsidRDefault="00A653AA" w:rsidP="00A653AA">
      <w:pPr>
        <w:pStyle w:val="ListParagraph"/>
        <w:numPr>
          <w:ilvl w:val="0"/>
          <w:numId w:val="2"/>
        </w:numPr>
        <w:spacing w:after="0" w:line="240" w:lineRule="auto"/>
        <w:jc w:val="both"/>
        <w:rPr>
          <w:rFonts w:ascii="Arial" w:eastAsia="Times New Roman" w:hAnsi="Arial" w:cs="Arial"/>
          <w:sz w:val="24"/>
          <w:szCs w:val="24"/>
        </w:rPr>
      </w:pPr>
      <w:r w:rsidRPr="00B022FA">
        <w:rPr>
          <w:rFonts w:ascii="Arial" w:eastAsia="Times New Roman" w:hAnsi="Arial" w:cs="Arial"/>
          <w:sz w:val="24"/>
          <w:szCs w:val="24"/>
        </w:rPr>
        <w:t xml:space="preserve">The funds received and expended under the executed contract must be accounted for and recorded by the selected Vendor to permit auditing and accounting for all expenditures in conformity with the terms and provisions of the executed contract, and State and Federal laws and regulations.    </w:t>
      </w:r>
    </w:p>
    <w:p w14:paraId="62476105" w14:textId="77777777" w:rsidR="00A653AA" w:rsidRPr="00B022FA" w:rsidRDefault="00A653AA" w:rsidP="00A653AA">
      <w:pPr>
        <w:numPr>
          <w:ilvl w:val="0"/>
          <w:numId w:val="2"/>
        </w:numPr>
        <w:spacing w:after="0" w:line="240" w:lineRule="auto"/>
        <w:jc w:val="both"/>
        <w:rPr>
          <w:rFonts w:ascii="Arial" w:eastAsia="Times New Roman" w:hAnsi="Arial" w:cs="Arial"/>
          <w:sz w:val="24"/>
          <w:szCs w:val="24"/>
        </w:rPr>
      </w:pPr>
      <w:r w:rsidRPr="00B022FA">
        <w:rPr>
          <w:rFonts w:ascii="Arial" w:eastAsia="Times New Roman" w:hAnsi="Arial" w:cs="Arial"/>
          <w:sz w:val="24"/>
          <w:szCs w:val="24"/>
        </w:rPr>
        <w:t>The Vendor’s fiscal records and accounts, including those involving other programs which, by virtue of cost or material resources sharing, are substantially related to the executed contract, shall be subject to audit by duly authorized Federal and State officials.</w:t>
      </w:r>
    </w:p>
    <w:p w14:paraId="6761F97F" w14:textId="77777777" w:rsidR="00A653AA" w:rsidRPr="00B022FA" w:rsidRDefault="00A653AA" w:rsidP="00A653AA">
      <w:pPr>
        <w:numPr>
          <w:ilvl w:val="0"/>
          <w:numId w:val="3"/>
        </w:numPr>
        <w:spacing w:after="0" w:line="240" w:lineRule="auto"/>
        <w:jc w:val="both"/>
        <w:rPr>
          <w:rFonts w:ascii="Arial" w:eastAsia="Times New Roman" w:hAnsi="Arial" w:cs="Arial"/>
          <w:sz w:val="24"/>
          <w:szCs w:val="24"/>
        </w:rPr>
      </w:pPr>
      <w:r w:rsidRPr="00B022FA">
        <w:rPr>
          <w:rFonts w:ascii="Arial" w:eastAsia="Times New Roman" w:hAnsi="Arial" w:cs="Arial"/>
          <w:sz w:val="24"/>
          <w:szCs w:val="24"/>
        </w:rPr>
        <w:t>All fees paid to the Vendor shall be subject to claw back by DSAMH if such fees are determined by DSAMH or applicable governmental authority to be inappropriate for any reason.</w:t>
      </w:r>
    </w:p>
    <w:p w14:paraId="34AD6091" w14:textId="77777777" w:rsidR="00A653AA" w:rsidRPr="00B022FA" w:rsidRDefault="00A653AA" w:rsidP="00A653AA">
      <w:pPr>
        <w:pStyle w:val="ListParagraph"/>
        <w:numPr>
          <w:ilvl w:val="0"/>
          <w:numId w:val="12"/>
        </w:numPr>
        <w:spacing w:after="200" w:line="276" w:lineRule="auto"/>
        <w:rPr>
          <w:rFonts w:ascii="Arial" w:eastAsia="Calibri" w:hAnsi="Arial" w:cs="Arial"/>
          <w:sz w:val="24"/>
          <w:szCs w:val="24"/>
        </w:rPr>
      </w:pPr>
      <w:r w:rsidRPr="00B022FA">
        <w:rPr>
          <w:rFonts w:ascii="Arial" w:eastAsia="Calibri" w:hAnsi="Arial" w:cs="Arial"/>
          <w:sz w:val="24"/>
          <w:szCs w:val="24"/>
        </w:rPr>
        <w:t xml:space="preserve">Cost Reimbursement Contracts are subject to Fiscal Monitoring.  Vendors will be notified prior to the scheduled monitor date.  The provider will be informed of the required documents for submission.  The monitor process session will include review of invoices from the previous invoices submitted.  </w:t>
      </w:r>
    </w:p>
    <w:p w14:paraId="7A5E75EF" w14:textId="77777777" w:rsidR="00A653AA" w:rsidRPr="00B022FA" w:rsidRDefault="00A653AA" w:rsidP="00A653AA">
      <w:pPr>
        <w:pStyle w:val="ListParagraph"/>
        <w:numPr>
          <w:ilvl w:val="0"/>
          <w:numId w:val="12"/>
        </w:numPr>
        <w:spacing w:after="200" w:line="276" w:lineRule="auto"/>
        <w:rPr>
          <w:rFonts w:ascii="Arial" w:eastAsia="Calibri" w:hAnsi="Arial" w:cs="Arial"/>
          <w:sz w:val="24"/>
          <w:szCs w:val="24"/>
        </w:rPr>
      </w:pPr>
      <w:r w:rsidRPr="00B022FA">
        <w:rPr>
          <w:rFonts w:ascii="Arial" w:eastAsia="Calibri" w:hAnsi="Arial" w:cs="Arial"/>
          <w:sz w:val="24"/>
          <w:szCs w:val="24"/>
        </w:rPr>
        <w:t>Upon notice given to the Vendor’s Executive Director or designee, representatives of DSAMH or other duly authorized State or Federal agencies shall have the right to inspect, monitor, audit and evaluate the program’s fiscal records or other material relative to the executed contract. The Vendor must cooperate and comply with all audit activities and submit all requested materials in support of the expense and/or service being reviewed.</w:t>
      </w:r>
    </w:p>
    <w:p w14:paraId="14DF5B2C" w14:textId="77777777" w:rsidR="00A653AA" w:rsidRPr="00B022FA" w:rsidRDefault="00A653AA" w:rsidP="00A653AA">
      <w:pPr>
        <w:pStyle w:val="ListParagraph"/>
        <w:numPr>
          <w:ilvl w:val="0"/>
          <w:numId w:val="12"/>
        </w:numPr>
        <w:spacing w:after="200" w:line="276" w:lineRule="auto"/>
        <w:rPr>
          <w:rFonts w:ascii="Arial" w:eastAsia="Calibri" w:hAnsi="Arial" w:cs="Arial"/>
          <w:sz w:val="24"/>
          <w:szCs w:val="24"/>
        </w:rPr>
      </w:pPr>
      <w:r w:rsidRPr="00B022FA">
        <w:rPr>
          <w:rFonts w:ascii="Arial" w:eastAsia="Calibri" w:hAnsi="Arial" w:cs="Arial"/>
          <w:sz w:val="24"/>
          <w:szCs w:val="24"/>
        </w:rPr>
        <w:t xml:space="preserve">Vendor is required to have an annual audit, conducted by an independent auditor, and provide DSAMH with a copy of the completed annual audit, including any related financial statements and management letters, within nine (9) months of the end of the Vendor fiscal year. Vendor must provide one bound copy via US Mail and an electronic (via the DHSS_DSAMHFiscalMonitoring@delaware.gov mailbox).  Any DSAMH initiated audit shall neither obviate the need for, nor restrict the Vendor from conducting required annual corporate audits. Financial statements are to be prepared in accordance with </w:t>
      </w:r>
      <w:r w:rsidRPr="00B022FA">
        <w:rPr>
          <w:rFonts w:ascii="Arial" w:eastAsia="Calibri" w:hAnsi="Arial" w:cs="Arial"/>
          <w:sz w:val="24"/>
          <w:szCs w:val="24"/>
        </w:rPr>
        <w:lastRenderedPageBreak/>
        <w:t>appropriate generally accepted accounting principles. Audits must be performed in accordance with auditing standards generally accepted in the United States and Government Auditing Standards issued by the U.S. Comptroller General.  When required by the amount of the Vendor’s total annual Federal award expenditures, the Vendor must comply with the requirements of the U.S. Office of Management and Budget (OMB) Uniform Grant Guidance, and its successors.</w:t>
      </w:r>
    </w:p>
    <w:p w14:paraId="57B95883" w14:textId="77777777" w:rsidR="00A653AA" w:rsidRPr="00B022FA" w:rsidRDefault="00A653AA" w:rsidP="00A653AA">
      <w:pPr>
        <w:pStyle w:val="ListParagraph"/>
        <w:numPr>
          <w:ilvl w:val="0"/>
          <w:numId w:val="12"/>
        </w:numPr>
        <w:spacing w:after="200" w:line="276" w:lineRule="auto"/>
        <w:rPr>
          <w:rFonts w:ascii="Arial" w:eastAsia="Calibri" w:hAnsi="Arial" w:cs="Arial"/>
          <w:sz w:val="24"/>
          <w:szCs w:val="24"/>
        </w:rPr>
      </w:pPr>
      <w:r w:rsidRPr="00B022FA">
        <w:rPr>
          <w:rFonts w:ascii="Arial" w:eastAsia="Calibri" w:hAnsi="Arial" w:cs="Arial"/>
          <w:sz w:val="24"/>
          <w:szCs w:val="24"/>
        </w:rPr>
        <w:t>Prohibited Costs:  In determining unallowable costs DSAMH used, Subpart E of the Uniform Administrative Requirements, Cost Principles and Audit Requirements for Federal Awards. A copy of this document is available at the following link:</w:t>
      </w:r>
      <w:r w:rsidRPr="00B022FA">
        <w:rPr>
          <w:rFonts w:ascii="Arial" w:eastAsia="Calibri" w:hAnsi="Arial" w:cs="Arial"/>
          <w:b/>
          <w:bCs/>
          <w:sz w:val="24"/>
          <w:szCs w:val="24"/>
        </w:rPr>
        <w:t xml:space="preserve"> </w:t>
      </w:r>
      <w:hyperlink r:id="rId25" w:history="1">
        <w:proofErr w:type="spellStart"/>
        <w:r w:rsidRPr="00B022FA">
          <w:rPr>
            <w:rStyle w:val="Hyperlink"/>
            <w:rFonts w:ascii="Arial" w:eastAsia="Calibri" w:hAnsi="Arial" w:cs="Arial"/>
            <w:color w:val="auto"/>
            <w:sz w:val="24"/>
            <w:szCs w:val="24"/>
          </w:rPr>
          <w:t>eCFR</w:t>
        </w:r>
        <w:proofErr w:type="spellEnd"/>
        <w:r w:rsidRPr="00B022FA">
          <w:rPr>
            <w:rStyle w:val="Hyperlink"/>
            <w:rFonts w:ascii="Arial" w:eastAsia="Calibri" w:hAnsi="Arial" w:cs="Arial"/>
            <w:color w:val="auto"/>
            <w:sz w:val="24"/>
            <w:szCs w:val="24"/>
          </w:rPr>
          <w:t xml:space="preserve"> :: 2 CFR Part 200 -- Uniform Administrative Requirements, Cost Principles, and Audit Requirements for Federal Awards</w:t>
        </w:r>
      </w:hyperlink>
      <w:r w:rsidRPr="00B022FA">
        <w:rPr>
          <w:rFonts w:ascii="Arial" w:eastAsia="Calibri" w:hAnsi="Arial" w:cs="Arial"/>
          <w:sz w:val="24"/>
          <w:szCs w:val="24"/>
        </w:rPr>
        <w:t xml:space="preserve">.  DSAMH will not pay for the following costs: </w:t>
      </w:r>
    </w:p>
    <w:p w14:paraId="7C8575E6" w14:textId="77777777" w:rsidR="00A653AA" w:rsidRPr="00B022FA" w:rsidRDefault="00A653AA" w:rsidP="00A653AA">
      <w:pPr>
        <w:pStyle w:val="ListParagraph"/>
        <w:numPr>
          <w:ilvl w:val="0"/>
          <w:numId w:val="13"/>
        </w:numPr>
        <w:spacing w:after="200" w:line="276" w:lineRule="auto"/>
        <w:rPr>
          <w:rFonts w:ascii="Arial" w:eastAsia="Calibri" w:hAnsi="Arial" w:cs="Arial"/>
          <w:sz w:val="24"/>
          <w:szCs w:val="24"/>
        </w:rPr>
      </w:pPr>
      <w:r w:rsidRPr="00B022FA">
        <w:rPr>
          <w:rFonts w:ascii="Arial" w:eastAsia="Calibri" w:hAnsi="Arial" w:cs="Arial"/>
          <w:sz w:val="24"/>
          <w:szCs w:val="24"/>
        </w:rPr>
        <w:t>Costs incurred before the effective date or after the termination date of any contract.</w:t>
      </w:r>
    </w:p>
    <w:p w14:paraId="2708F05E" w14:textId="77777777" w:rsidR="00A653AA" w:rsidRPr="00B022FA" w:rsidRDefault="00A653AA" w:rsidP="00A653AA">
      <w:pPr>
        <w:pStyle w:val="ListParagraph"/>
        <w:numPr>
          <w:ilvl w:val="0"/>
          <w:numId w:val="13"/>
        </w:numPr>
        <w:spacing w:after="200" w:line="276" w:lineRule="auto"/>
        <w:rPr>
          <w:rFonts w:ascii="Arial" w:eastAsia="Calibri" w:hAnsi="Arial" w:cs="Arial"/>
          <w:sz w:val="24"/>
          <w:szCs w:val="24"/>
        </w:rPr>
      </w:pPr>
      <w:r w:rsidRPr="00B022FA">
        <w:rPr>
          <w:rFonts w:ascii="Arial" w:eastAsia="Calibri" w:hAnsi="Arial" w:cs="Arial"/>
          <w:sz w:val="24"/>
          <w:szCs w:val="24"/>
        </w:rPr>
        <w:t>Costs for services which have not been rendered; cannot be verified as having been provided, according to standard DSAMH monitoring and audit procedures; have not been provided by DSAMH approved agencies and programs; have been provided to persons not authorized by DSAMH; have been provided to persons of less than 18 years of age, unless such persons have been approved in writing by DSAMH as eligible to receive services under this Contract; have been paid for by Medicaid or Medicare, by other third-party payers, by or on behalf of the recipient of services; or are a benefit offered as a covered service in any healthcare plan under which the resident has been determined to be covered, or for which the resident has been found to be eligible (unless such residents are specifically approved in writing by DSAMH as eligible to receive services under this Contract).</w:t>
      </w:r>
    </w:p>
    <w:p w14:paraId="1CFA0AB6" w14:textId="77777777" w:rsidR="00A653AA" w:rsidRPr="00B022FA" w:rsidRDefault="00A653AA" w:rsidP="00A653AA">
      <w:pPr>
        <w:pStyle w:val="ListParagraph"/>
        <w:numPr>
          <w:ilvl w:val="0"/>
          <w:numId w:val="13"/>
        </w:numPr>
        <w:spacing w:after="200" w:line="276" w:lineRule="auto"/>
        <w:rPr>
          <w:rFonts w:ascii="Arial" w:eastAsia="Calibri" w:hAnsi="Arial" w:cs="Arial"/>
          <w:sz w:val="24"/>
          <w:szCs w:val="24"/>
        </w:rPr>
      </w:pPr>
      <w:r w:rsidRPr="00B022FA">
        <w:rPr>
          <w:rFonts w:ascii="Arial" w:eastAsia="Calibri" w:hAnsi="Arial" w:cs="Arial"/>
          <w:sz w:val="24"/>
          <w:szCs w:val="24"/>
        </w:rPr>
        <w:t>Costs incurred prior to the approval of the Purchase Order by the Delaware State Department of Finance.</w:t>
      </w:r>
    </w:p>
    <w:p w14:paraId="3F79A350" w14:textId="77777777" w:rsidR="00A653AA" w:rsidRPr="00B022FA" w:rsidRDefault="00A653AA" w:rsidP="00A653AA">
      <w:pPr>
        <w:pStyle w:val="ListParagraph"/>
        <w:numPr>
          <w:ilvl w:val="0"/>
          <w:numId w:val="13"/>
        </w:numPr>
        <w:spacing w:after="200" w:line="276" w:lineRule="auto"/>
        <w:rPr>
          <w:rFonts w:ascii="Arial" w:eastAsia="Calibri" w:hAnsi="Arial" w:cs="Arial"/>
          <w:sz w:val="24"/>
          <w:szCs w:val="24"/>
        </w:rPr>
      </w:pPr>
      <w:r w:rsidRPr="00B022FA">
        <w:rPr>
          <w:rFonts w:ascii="Arial" w:eastAsia="Calibri" w:hAnsi="Arial" w:cs="Arial"/>
          <w:sz w:val="24"/>
          <w:szCs w:val="24"/>
        </w:rPr>
        <w:t xml:space="preserve">Costs incurred in violation of any provision of the contract. </w:t>
      </w:r>
    </w:p>
    <w:p w14:paraId="387AFA92" w14:textId="77777777" w:rsidR="00A653AA" w:rsidRPr="00B022FA" w:rsidRDefault="00A653AA" w:rsidP="00A653AA">
      <w:pPr>
        <w:pStyle w:val="ListParagraph"/>
        <w:numPr>
          <w:ilvl w:val="0"/>
          <w:numId w:val="13"/>
        </w:numPr>
        <w:spacing w:after="200" w:line="276" w:lineRule="auto"/>
        <w:rPr>
          <w:rFonts w:ascii="Arial" w:eastAsia="Calibri" w:hAnsi="Arial" w:cs="Arial"/>
          <w:sz w:val="24"/>
          <w:szCs w:val="24"/>
        </w:rPr>
      </w:pPr>
      <w:r w:rsidRPr="00B022FA">
        <w:rPr>
          <w:rFonts w:ascii="Arial" w:eastAsia="Calibri" w:hAnsi="Arial" w:cs="Arial"/>
          <w:sz w:val="24"/>
          <w:szCs w:val="24"/>
        </w:rPr>
        <w:t>Costs of acquisition, renovation or improvement of facilities or land. Ongoing costs of facility maintenance and repair are distinguished from improvement and are allowable.</w:t>
      </w:r>
    </w:p>
    <w:p w14:paraId="60EB89F4" w14:textId="77777777" w:rsidR="00A653AA" w:rsidRPr="00B022FA" w:rsidRDefault="00A653AA" w:rsidP="00A653AA">
      <w:pPr>
        <w:pStyle w:val="ListParagraph"/>
        <w:numPr>
          <w:ilvl w:val="0"/>
          <w:numId w:val="13"/>
        </w:numPr>
        <w:spacing w:after="200" w:line="276" w:lineRule="auto"/>
        <w:rPr>
          <w:rFonts w:ascii="Arial" w:eastAsia="Calibri" w:hAnsi="Arial" w:cs="Arial"/>
          <w:sz w:val="24"/>
          <w:szCs w:val="24"/>
        </w:rPr>
      </w:pPr>
      <w:r w:rsidRPr="00B022FA">
        <w:rPr>
          <w:rFonts w:ascii="Arial" w:eastAsia="Calibri" w:hAnsi="Arial" w:cs="Arial"/>
          <w:sz w:val="24"/>
          <w:szCs w:val="24"/>
        </w:rPr>
        <w:t>Costs incurred for the purchase and maintenance of Vehicles.</w:t>
      </w:r>
    </w:p>
    <w:p w14:paraId="47184A74" w14:textId="77777777" w:rsidR="00A653AA" w:rsidRPr="00B022FA" w:rsidRDefault="00A653AA" w:rsidP="00A653AA">
      <w:pPr>
        <w:pStyle w:val="ListParagraph"/>
        <w:numPr>
          <w:ilvl w:val="0"/>
          <w:numId w:val="13"/>
        </w:numPr>
        <w:spacing w:after="200" w:line="276" w:lineRule="auto"/>
        <w:rPr>
          <w:rFonts w:ascii="Arial" w:eastAsia="Calibri" w:hAnsi="Arial" w:cs="Arial"/>
          <w:sz w:val="24"/>
          <w:szCs w:val="24"/>
        </w:rPr>
      </w:pPr>
      <w:r w:rsidRPr="00B022FA">
        <w:rPr>
          <w:rFonts w:ascii="Arial" w:eastAsia="Calibri" w:hAnsi="Arial" w:cs="Arial"/>
          <w:sz w:val="24"/>
          <w:szCs w:val="24"/>
        </w:rPr>
        <w:t xml:space="preserve">Costs of political activities, including transportation of voters or prospective voters to the polls, activities in connection with an election or a voter registration effort, contributions to political organizations and expenses related to lobbying. </w:t>
      </w:r>
    </w:p>
    <w:p w14:paraId="09ED24CD" w14:textId="77777777" w:rsidR="00A653AA" w:rsidRPr="00B022FA" w:rsidRDefault="00A653AA" w:rsidP="00A653AA">
      <w:pPr>
        <w:pStyle w:val="ListParagraph"/>
        <w:numPr>
          <w:ilvl w:val="0"/>
          <w:numId w:val="13"/>
        </w:numPr>
        <w:spacing w:after="200" w:line="276" w:lineRule="auto"/>
        <w:rPr>
          <w:rFonts w:ascii="Arial" w:eastAsia="Calibri" w:hAnsi="Arial" w:cs="Arial"/>
          <w:sz w:val="24"/>
          <w:szCs w:val="24"/>
        </w:rPr>
      </w:pPr>
      <w:r w:rsidRPr="00B022FA">
        <w:rPr>
          <w:rFonts w:ascii="Arial" w:eastAsia="Calibri" w:hAnsi="Arial" w:cs="Arial"/>
          <w:sz w:val="24"/>
          <w:szCs w:val="24"/>
        </w:rPr>
        <w:t xml:space="preserve">Costs of idle facilities. Idle facilities mean completely unused facilities that are excess to the organization’s current needs. Unallowable costs related to the idle facility include maintenance, repair, rent, property tax, insurance and depreciation or use allowances. </w:t>
      </w:r>
    </w:p>
    <w:p w14:paraId="69A98C16" w14:textId="77777777" w:rsidR="00A653AA" w:rsidRPr="00B022FA" w:rsidRDefault="00A653AA" w:rsidP="00A653AA">
      <w:pPr>
        <w:pStyle w:val="ListParagraph"/>
        <w:numPr>
          <w:ilvl w:val="0"/>
          <w:numId w:val="13"/>
        </w:numPr>
        <w:spacing w:after="200" w:line="276" w:lineRule="auto"/>
        <w:rPr>
          <w:rFonts w:ascii="Arial" w:eastAsia="Calibri" w:hAnsi="Arial" w:cs="Arial"/>
          <w:sz w:val="24"/>
          <w:szCs w:val="24"/>
        </w:rPr>
      </w:pPr>
      <w:r w:rsidRPr="00B022FA">
        <w:rPr>
          <w:rFonts w:ascii="Arial" w:eastAsia="Calibri" w:hAnsi="Arial" w:cs="Arial"/>
          <w:sz w:val="24"/>
          <w:szCs w:val="24"/>
        </w:rPr>
        <w:t xml:space="preserve">Interest payments, late payment fees and penalties charged by Vendor because of late invoicing. </w:t>
      </w:r>
    </w:p>
    <w:p w14:paraId="28700A00" w14:textId="77777777" w:rsidR="00A653AA" w:rsidRPr="00B022FA" w:rsidRDefault="00A653AA" w:rsidP="00A653AA">
      <w:pPr>
        <w:pStyle w:val="ListParagraph"/>
        <w:numPr>
          <w:ilvl w:val="0"/>
          <w:numId w:val="13"/>
        </w:numPr>
        <w:spacing w:after="200" w:line="276" w:lineRule="auto"/>
        <w:rPr>
          <w:rFonts w:ascii="Arial" w:eastAsia="Calibri" w:hAnsi="Arial" w:cs="Arial"/>
          <w:sz w:val="24"/>
          <w:szCs w:val="24"/>
        </w:rPr>
      </w:pPr>
      <w:r w:rsidRPr="00B022FA">
        <w:rPr>
          <w:rFonts w:ascii="Arial" w:eastAsia="Calibri" w:hAnsi="Arial" w:cs="Arial"/>
          <w:sz w:val="24"/>
          <w:szCs w:val="24"/>
        </w:rPr>
        <w:lastRenderedPageBreak/>
        <w:t>Costs related to fines or penalties imposed on the agency or legal fees related to the defense of the agency or any of its employees in any civil or criminal action.</w:t>
      </w:r>
    </w:p>
    <w:p w14:paraId="6D3C6BF4" w14:textId="77777777" w:rsidR="00A653AA" w:rsidRPr="00B022FA" w:rsidRDefault="00A653AA" w:rsidP="00A653AA">
      <w:pPr>
        <w:pStyle w:val="ListParagraph"/>
        <w:numPr>
          <w:ilvl w:val="0"/>
          <w:numId w:val="13"/>
        </w:numPr>
        <w:spacing w:after="200" w:line="276" w:lineRule="auto"/>
        <w:rPr>
          <w:rFonts w:ascii="Arial" w:eastAsia="Calibri" w:hAnsi="Arial" w:cs="Arial"/>
          <w:sz w:val="24"/>
          <w:szCs w:val="24"/>
        </w:rPr>
      </w:pPr>
      <w:r w:rsidRPr="00B022FA">
        <w:rPr>
          <w:rFonts w:ascii="Arial" w:eastAsia="Calibri" w:hAnsi="Arial" w:cs="Arial"/>
          <w:sz w:val="24"/>
          <w:szCs w:val="24"/>
        </w:rPr>
        <w:t>Costs that violate any requirement or are identified as a prohibited activity in this scope of work</w:t>
      </w:r>
    </w:p>
    <w:p w14:paraId="42065432" w14:textId="77777777" w:rsidR="00A653AA" w:rsidRDefault="00A653AA" w:rsidP="00A653AA">
      <w:pPr>
        <w:pStyle w:val="ListParagraph"/>
        <w:numPr>
          <w:ilvl w:val="0"/>
          <w:numId w:val="13"/>
        </w:numPr>
        <w:spacing w:after="200" w:line="276" w:lineRule="auto"/>
        <w:rPr>
          <w:rFonts w:ascii="Arial" w:eastAsia="Calibri" w:hAnsi="Arial" w:cs="Arial"/>
          <w:sz w:val="24"/>
          <w:szCs w:val="24"/>
        </w:rPr>
      </w:pPr>
      <w:r w:rsidRPr="00B022FA">
        <w:rPr>
          <w:rFonts w:ascii="Arial" w:eastAsia="Calibri" w:hAnsi="Arial" w:cs="Arial"/>
          <w:sz w:val="24"/>
          <w:szCs w:val="24"/>
        </w:rPr>
        <w:t>Costs that violate any applicable Federal or State statute or regulation.</w:t>
      </w:r>
    </w:p>
    <w:p w14:paraId="07D8D304" w14:textId="77777777" w:rsidR="00A653AA" w:rsidRDefault="00A653AA" w:rsidP="00A653AA">
      <w:pPr>
        <w:spacing w:line="256" w:lineRule="auto"/>
        <w:rPr>
          <w:rFonts w:ascii="Arial" w:eastAsia="Times New Roman" w:hAnsi="Arial" w:cs="Arial"/>
          <w:bCs/>
          <w:sz w:val="24"/>
          <w:szCs w:val="24"/>
        </w:rPr>
      </w:pPr>
      <w:bookmarkStart w:id="7" w:name="_Hlk214891217"/>
      <w:r>
        <w:rPr>
          <w:rFonts w:ascii="Arial" w:eastAsia="Times New Roman" w:hAnsi="Arial" w:cs="Arial"/>
          <w:sz w:val="24"/>
          <w:szCs w:val="24"/>
        </w:rPr>
        <w:t>$</w:t>
      </w:r>
      <w:r w:rsidRPr="00827DE7">
        <w:rPr>
          <w:rFonts w:ascii="Arial" w:eastAsia="Times New Roman" w:hAnsi="Arial" w:cs="Arial"/>
          <w:sz w:val="24"/>
          <w:szCs w:val="24"/>
        </w:rPr>
        <w:t xml:space="preserve">3,214,000, </w:t>
      </w:r>
      <w:r w:rsidRPr="00827DE7">
        <w:rPr>
          <w:rFonts w:ascii="Arial" w:eastAsia="Times New Roman" w:hAnsi="Arial" w:cs="Arial"/>
          <w:bCs/>
          <w:sz w:val="24"/>
          <w:szCs w:val="24"/>
        </w:rPr>
        <w:t>is presently available for the total service execution of this Component.  Annual funding amount determination is contingent on availability of funds and funding source priorities.</w:t>
      </w:r>
    </w:p>
    <w:bookmarkEnd w:id="7"/>
    <w:p w14:paraId="2423F38E" w14:textId="77777777" w:rsidR="00A653AA" w:rsidRPr="00827DE7" w:rsidRDefault="00A653AA" w:rsidP="00A653AA">
      <w:pPr>
        <w:spacing w:line="256" w:lineRule="auto"/>
        <w:rPr>
          <w:rFonts w:ascii="Arial" w:eastAsia="Times New Roman" w:hAnsi="Arial" w:cs="Arial"/>
          <w:bCs/>
          <w:sz w:val="24"/>
          <w:szCs w:val="24"/>
        </w:rPr>
      </w:pPr>
      <w:r w:rsidRPr="00B022FA">
        <w:rPr>
          <w:rFonts w:ascii="Arial" w:eastAsia="Calibri" w:hAnsi="Arial" w:cs="Arial"/>
          <w:b/>
          <w:sz w:val="24"/>
          <w:szCs w:val="24"/>
          <w:u w:val="single"/>
        </w:rPr>
        <w:t>Evaluation and Performance Measures</w:t>
      </w:r>
    </w:p>
    <w:p w14:paraId="124363C8" w14:textId="77777777" w:rsidR="00A653AA" w:rsidRPr="009E0C30" w:rsidRDefault="00A653AA" w:rsidP="00A653AA">
      <w:pPr>
        <w:spacing w:line="256" w:lineRule="auto"/>
        <w:rPr>
          <w:rFonts w:ascii="Arial" w:eastAsia="Calibri" w:hAnsi="Arial" w:cs="Arial"/>
          <w:sz w:val="24"/>
          <w:szCs w:val="24"/>
        </w:rPr>
      </w:pPr>
      <w:r w:rsidRPr="009E0C30">
        <w:rPr>
          <w:rFonts w:ascii="Arial" w:eastAsia="Calibri" w:hAnsi="Arial" w:cs="Arial"/>
          <w:sz w:val="24"/>
          <w:szCs w:val="24"/>
        </w:rPr>
        <w:t xml:space="preserve">The following content establishes sustainable systems to understand the program and its outcomes as simply as possible, integrating data collection into current systems wherever possible. DSAMH has the right to conduct any onsite evaluation and monitoring of the Vendor’s activity at any time.  </w:t>
      </w:r>
    </w:p>
    <w:p w14:paraId="3E57B74A" w14:textId="77777777" w:rsidR="00A653AA" w:rsidRPr="00785DB3" w:rsidRDefault="00A653AA" w:rsidP="00A653AA">
      <w:pPr>
        <w:spacing w:line="256" w:lineRule="auto"/>
        <w:rPr>
          <w:rFonts w:ascii="Arial" w:eastAsia="Calibri" w:hAnsi="Arial" w:cs="Arial"/>
          <w:sz w:val="24"/>
          <w:szCs w:val="24"/>
        </w:rPr>
      </w:pPr>
      <w:r w:rsidRPr="00785DB3">
        <w:rPr>
          <w:rFonts w:ascii="Arial" w:eastAsia="Calibri" w:hAnsi="Arial" w:cs="Arial"/>
          <w:sz w:val="24"/>
          <w:szCs w:val="24"/>
        </w:rPr>
        <w:t>The extension of the service period of the contract is based on the continued needs of the Division, funding availability, and the past performance of the Vendor.  Vendor performance shall be based on considerations of the following factors:</w:t>
      </w:r>
    </w:p>
    <w:tbl>
      <w:tblPr>
        <w:tblStyle w:val="TableGrid"/>
        <w:tblW w:w="5000" w:type="pct"/>
        <w:tblInd w:w="0" w:type="dxa"/>
        <w:tblLook w:val="01E0" w:firstRow="1" w:lastRow="1" w:firstColumn="1" w:lastColumn="1" w:noHBand="0" w:noVBand="0"/>
      </w:tblPr>
      <w:tblGrid>
        <w:gridCol w:w="5184"/>
        <w:gridCol w:w="4886"/>
      </w:tblGrid>
      <w:tr w:rsidR="00C902EA" w:rsidRPr="001374C4" w14:paraId="528BC00B" w14:textId="77777777" w:rsidTr="00A3691D">
        <w:trPr>
          <w:trHeight w:val="156"/>
        </w:trPr>
        <w:tc>
          <w:tcPr>
            <w:tcW w:w="2574" w:type="pct"/>
            <w:tcBorders>
              <w:top w:val="single" w:sz="4" w:space="0" w:color="auto"/>
              <w:left w:val="single" w:sz="4" w:space="0" w:color="auto"/>
              <w:bottom w:val="single" w:sz="4" w:space="0" w:color="auto"/>
              <w:right w:val="single" w:sz="4" w:space="0" w:color="auto"/>
            </w:tcBorders>
            <w:hideMark/>
          </w:tcPr>
          <w:p w14:paraId="6DD92088" w14:textId="77777777" w:rsidR="00C902EA" w:rsidRPr="001374C4" w:rsidRDefault="00C902EA" w:rsidP="00A3691D">
            <w:pPr>
              <w:spacing w:line="256" w:lineRule="auto"/>
              <w:rPr>
                <w:rFonts w:ascii="Arial" w:hAnsi="Arial" w:cs="Arial"/>
                <w:b/>
                <w:sz w:val="24"/>
                <w:szCs w:val="24"/>
              </w:rPr>
            </w:pPr>
            <w:r w:rsidRPr="001374C4">
              <w:rPr>
                <w:rFonts w:ascii="Arial" w:hAnsi="Arial" w:cs="Arial"/>
                <w:b/>
                <w:sz w:val="24"/>
                <w:szCs w:val="24"/>
              </w:rPr>
              <w:t>Performance Objective</w:t>
            </w:r>
          </w:p>
        </w:tc>
        <w:tc>
          <w:tcPr>
            <w:tcW w:w="2426" w:type="pct"/>
            <w:tcBorders>
              <w:top w:val="single" w:sz="4" w:space="0" w:color="auto"/>
              <w:left w:val="single" w:sz="4" w:space="0" w:color="auto"/>
              <w:bottom w:val="single" w:sz="4" w:space="0" w:color="auto"/>
              <w:right w:val="single" w:sz="4" w:space="0" w:color="auto"/>
            </w:tcBorders>
            <w:hideMark/>
          </w:tcPr>
          <w:p w14:paraId="3DC1E570" w14:textId="77777777" w:rsidR="00C902EA" w:rsidRPr="001374C4" w:rsidRDefault="00C902EA" w:rsidP="00A3691D">
            <w:pPr>
              <w:spacing w:line="256" w:lineRule="auto"/>
              <w:rPr>
                <w:rFonts w:ascii="Arial" w:hAnsi="Arial" w:cs="Arial"/>
                <w:b/>
                <w:sz w:val="24"/>
                <w:szCs w:val="24"/>
              </w:rPr>
            </w:pPr>
            <w:r w:rsidRPr="001374C4">
              <w:rPr>
                <w:rFonts w:ascii="Arial" w:hAnsi="Arial" w:cs="Arial"/>
                <w:b/>
                <w:sz w:val="24"/>
                <w:szCs w:val="24"/>
              </w:rPr>
              <w:t>Method of Assessment</w:t>
            </w:r>
          </w:p>
        </w:tc>
      </w:tr>
      <w:tr w:rsidR="00C902EA" w:rsidRPr="001374C4" w14:paraId="02ED6086" w14:textId="77777777" w:rsidTr="00A3691D">
        <w:trPr>
          <w:trHeight w:val="314"/>
        </w:trPr>
        <w:tc>
          <w:tcPr>
            <w:tcW w:w="2574" w:type="pct"/>
            <w:tcBorders>
              <w:top w:val="single" w:sz="4" w:space="0" w:color="auto"/>
              <w:left w:val="single" w:sz="4" w:space="0" w:color="auto"/>
              <w:bottom w:val="single" w:sz="4" w:space="0" w:color="auto"/>
              <w:right w:val="single" w:sz="4" w:space="0" w:color="auto"/>
            </w:tcBorders>
            <w:hideMark/>
          </w:tcPr>
          <w:p w14:paraId="56535557" w14:textId="77777777" w:rsidR="00C902EA" w:rsidRPr="001374C4" w:rsidRDefault="00C902EA" w:rsidP="00A3691D">
            <w:pPr>
              <w:spacing w:line="256" w:lineRule="auto"/>
              <w:rPr>
                <w:rFonts w:ascii="Arial" w:hAnsi="Arial" w:cs="Arial"/>
                <w:sz w:val="24"/>
                <w:szCs w:val="24"/>
              </w:rPr>
            </w:pPr>
            <w:r w:rsidRPr="001374C4">
              <w:rPr>
                <w:rFonts w:ascii="Arial" w:hAnsi="Arial" w:cs="Arial"/>
                <w:sz w:val="24"/>
                <w:szCs w:val="24"/>
              </w:rPr>
              <w:t>Provide services as identified in</w:t>
            </w:r>
            <w:r>
              <w:rPr>
                <w:rFonts w:ascii="Arial" w:hAnsi="Arial" w:cs="Arial"/>
                <w:sz w:val="24"/>
                <w:szCs w:val="24"/>
              </w:rPr>
              <w:t xml:space="preserve"> the</w:t>
            </w:r>
            <w:r w:rsidRPr="001374C4">
              <w:rPr>
                <w:rFonts w:ascii="Arial" w:hAnsi="Arial" w:cs="Arial"/>
                <w:sz w:val="24"/>
                <w:szCs w:val="24"/>
              </w:rPr>
              <w:t xml:space="preserve"> Scope of Services</w:t>
            </w:r>
          </w:p>
        </w:tc>
        <w:tc>
          <w:tcPr>
            <w:tcW w:w="2426" w:type="pct"/>
            <w:tcBorders>
              <w:top w:val="single" w:sz="4" w:space="0" w:color="auto"/>
              <w:left w:val="single" w:sz="4" w:space="0" w:color="auto"/>
              <w:bottom w:val="single" w:sz="4" w:space="0" w:color="auto"/>
              <w:right w:val="single" w:sz="4" w:space="0" w:color="auto"/>
            </w:tcBorders>
            <w:hideMark/>
          </w:tcPr>
          <w:p w14:paraId="55FDC14C" w14:textId="77777777" w:rsidR="00C902EA" w:rsidRPr="001374C4" w:rsidRDefault="00C902EA" w:rsidP="00A3691D">
            <w:pPr>
              <w:spacing w:line="256" w:lineRule="auto"/>
              <w:rPr>
                <w:rFonts w:ascii="Arial" w:hAnsi="Arial" w:cs="Arial"/>
                <w:sz w:val="24"/>
                <w:szCs w:val="24"/>
              </w:rPr>
            </w:pPr>
            <w:r>
              <w:rPr>
                <w:rFonts w:ascii="Arial" w:hAnsi="Arial" w:cs="Arial"/>
                <w:sz w:val="24"/>
                <w:szCs w:val="24"/>
              </w:rPr>
              <w:t>All scheduled</w:t>
            </w:r>
            <w:r w:rsidRPr="001374C4">
              <w:rPr>
                <w:rFonts w:ascii="Arial" w:hAnsi="Arial" w:cs="Arial"/>
                <w:sz w:val="24"/>
                <w:szCs w:val="24"/>
              </w:rPr>
              <w:t xml:space="preserve"> </w:t>
            </w:r>
            <w:r>
              <w:rPr>
                <w:rFonts w:ascii="Arial" w:hAnsi="Arial" w:cs="Arial"/>
                <w:sz w:val="24"/>
                <w:szCs w:val="24"/>
              </w:rPr>
              <w:t>Vendor</w:t>
            </w:r>
            <w:r w:rsidRPr="001374C4">
              <w:rPr>
                <w:rFonts w:ascii="Arial" w:hAnsi="Arial" w:cs="Arial"/>
                <w:sz w:val="24"/>
                <w:szCs w:val="24"/>
              </w:rPr>
              <w:t xml:space="preserve"> meeting participation, Review of program reports, third-party feedback</w:t>
            </w:r>
            <w:r>
              <w:rPr>
                <w:rFonts w:ascii="Arial" w:hAnsi="Arial" w:cs="Arial"/>
                <w:sz w:val="24"/>
                <w:szCs w:val="24"/>
              </w:rPr>
              <w:t>, on-site monitoring</w:t>
            </w:r>
          </w:p>
        </w:tc>
      </w:tr>
      <w:tr w:rsidR="00C902EA" w:rsidRPr="001374C4" w14:paraId="4F684F46" w14:textId="77777777" w:rsidTr="00A3691D">
        <w:trPr>
          <w:trHeight w:val="314"/>
        </w:trPr>
        <w:tc>
          <w:tcPr>
            <w:tcW w:w="2574" w:type="pct"/>
            <w:tcBorders>
              <w:top w:val="single" w:sz="4" w:space="0" w:color="auto"/>
              <w:left w:val="single" w:sz="4" w:space="0" w:color="auto"/>
              <w:bottom w:val="single" w:sz="4" w:space="0" w:color="auto"/>
              <w:right w:val="single" w:sz="4" w:space="0" w:color="auto"/>
            </w:tcBorders>
            <w:hideMark/>
          </w:tcPr>
          <w:p w14:paraId="679C94F9" w14:textId="77777777" w:rsidR="00C902EA" w:rsidRPr="001374C4" w:rsidRDefault="00C902EA" w:rsidP="00A3691D">
            <w:pPr>
              <w:spacing w:line="256" w:lineRule="auto"/>
              <w:rPr>
                <w:rFonts w:ascii="Arial" w:hAnsi="Arial" w:cs="Arial"/>
                <w:b/>
                <w:sz w:val="24"/>
                <w:szCs w:val="24"/>
              </w:rPr>
            </w:pPr>
            <w:r w:rsidRPr="001374C4">
              <w:rPr>
                <w:rFonts w:ascii="Arial" w:hAnsi="Arial" w:cs="Arial"/>
                <w:sz w:val="24"/>
                <w:szCs w:val="24"/>
              </w:rPr>
              <w:t xml:space="preserve">Compliance with all State and Federal statutes and regulations as applicable for the operation of services identified in </w:t>
            </w:r>
            <w:r>
              <w:rPr>
                <w:rFonts w:ascii="Arial" w:hAnsi="Arial" w:cs="Arial"/>
                <w:sz w:val="24"/>
                <w:szCs w:val="24"/>
              </w:rPr>
              <w:t>the</w:t>
            </w:r>
            <w:r w:rsidRPr="001374C4">
              <w:rPr>
                <w:rFonts w:ascii="Arial" w:hAnsi="Arial" w:cs="Arial"/>
                <w:sz w:val="24"/>
                <w:szCs w:val="24"/>
              </w:rPr>
              <w:t xml:space="preserve"> Scope of Work.</w:t>
            </w:r>
          </w:p>
        </w:tc>
        <w:tc>
          <w:tcPr>
            <w:tcW w:w="2426" w:type="pct"/>
            <w:tcBorders>
              <w:top w:val="single" w:sz="4" w:space="0" w:color="auto"/>
              <w:left w:val="single" w:sz="4" w:space="0" w:color="auto"/>
              <w:bottom w:val="single" w:sz="4" w:space="0" w:color="auto"/>
              <w:right w:val="single" w:sz="4" w:space="0" w:color="auto"/>
            </w:tcBorders>
            <w:hideMark/>
          </w:tcPr>
          <w:p w14:paraId="7D0BF94F" w14:textId="77777777" w:rsidR="00C902EA" w:rsidRPr="001374C4" w:rsidRDefault="00C902EA" w:rsidP="00A3691D">
            <w:pPr>
              <w:spacing w:line="256" w:lineRule="auto"/>
              <w:rPr>
                <w:rFonts w:ascii="Arial" w:hAnsi="Arial" w:cs="Arial"/>
                <w:b/>
                <w:sz w:val="24"/>
                <w:szCs w:val="24"/>
              </w:rPr>
            </w:pPr>
            <w:r w:rsidRPr="001374C4">
              <w:rPr>
                <w:rFonts w:ascii="Arial" w:hAnsi="Arial" w:cs="Arial"/>
                <w:sz w:val="24"/>
                <w:szCs w:val="24"/>
              </w:rPr>
              <w:t xml:space="preserve">Review of program reports, </w:t>
            </w:r>
            <w:r>
              <w:rPr>
                <w:rFonts w:ascii="Arial" w:hAnsi="Arial" w:cs="Arial"/>
                <w:sz w:val="24"/>
                <w:szCs w:val="24"/>
              </w:rPr>
              <w:t xml:space="preserve">on-site monitoring, </w:t>
            </w:r>
            <w:r w:rsidRPr="001374C4">
              <w:rPr>
                <w:rFonts w:ascii="Arial" w:hAnsi="Arial" w:cs="Arial"/>
                <w:sz w:val="24"/>
                <w:szCs w:val="24"/>
              </w:rPr>
              <w:t>third-party feedback</w:t>
            </w:r>
            <w:r>
              <w:rPr>
                <w:rFonts w:ascii="Arial" w:hAnsi="Arial" w:cs="Arial"/>
                <w:sz w:val="24"/>
                <w:szCs w:val="24"/>
              </w:rPr>
              <w:t>.</w:t>
            </w:r>
          </w:p>
        </w:tc>
      </w:tr>
      <w:tr w:rsidR="00C902EA" w:rsidRPr="001374C4" w14:paraId="56524863" w14:textId="77777777" w:rsidTr="00A3691D">
        <w:trPr>
          <w:trHeight w:val="314"/>
        </w:trPr>
        <w:tc>
          <w:tcPr>
            <w:tcW w:w="2574" w:type="pct"/>
            <w:tcBorders>
              <w:top w:val="single" w:sz="4" w:space="0" w:color="auto"/>
              <w:left w:val="single" w:sz="4" w:space="0" w:color="auto"/>
              <w:bottom w:val="single" w:sz="4" w:space="0" w:color="auto"/>
              <w:right w:val="single" w:sz="4" w:space="0" w:color="auto"/>
            </w:tcBorders>
            <w:hideMark/>
          </w:tcPr>
          <w:p w14:paraId="6FB608C4" w14:textId="77777777" w:rsidR="00C902EA" w:rsidRPr="001374C4" w:rsidRDefault="00C902EA" w:rsidP="00A3691D">
            <w:pPr>
              <w:spacing w:line="256" w:lineRule="auto"/>
              <w:rPr>
                <w:rFonts w:ascii="Arial" w:hAnsi="Arial" w:cs="Arial"/>
                <w:sz w:val="24"/>
                <w:szCs w:val="24"/>
              </w:rPr>
            </w:pPr>
            <w:r w:rsidRPr="001374C4">
              <w:rPr>
                <w:rFonts w:ascii="Arial" w:hAnsi="Arial" w:cs="Arial"/>
                <w:sz w:val="24"/>
                <w:szCs w:val="24"/>
              </w:rPr>
              <w:t>Adhere to requirements in Professional Service Agreement, Divisional Requirements, Scope of Services, and Contract Budget information.</w:t>
            </w:r>
          </w:p>
        </w:tc>
        <w:tc>
          <w:tcPr>
            <w:tcW w:w="2426" w:type="pct"/>
            <w:tcBorders>
              <w:top w:val="single" w:sz="4" w:space="0" w:color="auto"/>
              <w:left w:val="single" w:sz="4" w:space="0" w:color="auto"/>
              <w:bottom w:val="single" w:sz="4" w:space="0" w:color="auto"/>
              <w:right w:val="single" w:sz="4" w:space="0" w:color="auto"/>
            </w:tcBorders>
            <w:hideMark/>
          </w:tcPr>
          <w:p w14:paraId="357B4D53" w14:textId="77777777" w:rsidR="00C902EA" w:rsidRPr="001374C4" w:rsidRDefault="00C902EA" w:rsidP="00A3691D">
            <w:pPr>
              <w:spacing w:line="256" w:lineRule="auto"/>
              <w:rPr>
                <w:rFonts w:ascii="Arial" w:hAnsi="Arial" w:cs="Arial"/>
                <w:sz w:val="24"/>
                <w:szCs w:val="24"/>
              </w:rPr>
            </w:pPr>
            <w:r>
              <w:rPr>
                <w:rFonts w:ascii="Arial" w:hAnsi="Arial" w:cs="Arial"/>
                <w:sz w:val="24"/>
                <w:szCs w:val="24"/>
              </w:rPr>
              <w:t>All scheduled V</w:t>
            </w:r>
            <w:r w:rsidRPr="001374C4">
              <w:rPr>
                <w:rFonts w:ascii="Arial" w:hAnsi="Arial" w:cs="Arial"/>
                <w:sz w:val="24"/>
                <w:szCs w:val="24"/>
              </w:rPr>
              <w:t xml:space="preserve">endor meeting participation, Review of program reports, third-party feedback, </w:t>
            </w:r>
            <w:r>
              <w:rPr>
                <w:rFonts w:ascii="Arial" w:hAnsi="Arial" w:cs="Arial"/>
                <w:sz w:val="24"/>
                <w:szCs w:val="24"/>
              </w:rPr>
              <w:t>on-site monitoring, a</w:t>
            </w:r>
            <w:r w:rsidRPr="001374C4">
              <w:rPr>
                <w:rFonts w:ascii="Arial" w:hAnsi="Arial" w:cs="Arial"/>
                <w:sz w:val="24"/>
                <w:szCs w:val="24"/>
              </w:rPr>
              <w:t>nnual submission of policies, procedures, and plans outlined in scope of work</w:t>
            </w:r>
          </w:p>
        </w:tc>
      </w:tr>
      <w:tr w:rsidR="00C902EA" w:rsidRPr="001374C4" w14:paraId="56EF8929" w14:textId="77777777" w:rsidTr="00A3691D">
        <w:trPr>
          <w:trHeight w:val="314"/>
        </w:trPr>
        <w:tc>
          <w:tcPr>
            <w:tcW w:w="2574" w:type="pct"/>
            <w:tcBorders>
              <w:top w:val="single" w:sz="4" w:space="0" w:color="auto"/>
              <w:left w:val="single" w:sz="4" w:space="0" w:color="auto"/>
              <w:bottom w:val="single" w:sz="4" w:space="0" w:color="auto"/>
              <w:right w:val="single" w:sz="4" w:space="0" w:color="auto"/>
            </w:tcBorders>
            <w:hideMark/>
          </w:tcPr>
          <w:p w14:paraId="2DAFD2A3" w14:textId="77777777" w:rsidR="00C902EA" w:rsidRPr="001374C4" w:rsidRDefault="00C902EA" w:rsidP="00A3691D">
            <w:pPr>
              <w:spacing w:line="256" w:lineRule="auto"/>
              <w:rPr>
                <w:rFonts w:ascii="Arial" w:hAnsi="Arial" w:cs="Arial"/>
                <w:sz w:val="24"/>
                <w:szCs w:val="24"/>
              </w:rPr>
            </w:pPr>
            <w:r w:rsidRPr="001374C4">
              <w:rPr>
                <w:rFonts w:ascii="Arial" w:hAnsi="Arial" w:cs="Arial"/>
                <w:sz w:val="24"/>
                <w:szCs w:val="24"/>
              </w:rPr>
              <w:t>Reconcile accounts before submitting invoices</w:t>
            </w:r>
          </w:p>
        </w:tc>
        <w:tc>
          <w:tcPr>
            <w:tcW w:w="2426" w:type="pct"/>
            <w:tcBorders>
              <w:top w:val="single" w:sz="4" w:space="0" w:color="auto"/>
              <w:left w:val="single" w:sz="4" w:space="0" w:color="auto"/>
              <w:bottom w:val="single" w:sz="4" w:space="0" w:color="auto"/>
              <w:right w:val="single" w:sz="4" w:space="0" w:color="auto"/>
            </w:tcBorders>
            <w:hideMark/>
          </w:tcPr>
          <w:p w14:paraId="4D30746E" w14:textId="77777777" w:rsidR="00C902EA" w:rsidRPr="001374C4" w:rsidRDefault="00C902EA" w:rsidP="00A3691D">
            <w:pPr>
              <w:spacing w:line="256" w:lineRule="auto"/>
              <w:rPr>
                <w:rFonts w:ascii="Arial" w:hAnsi="Arial" w:cs="Arial"/>
                <w:sz w:val="24"/>
                <w:szCs w:val="24"/>
              </w:rPr>
            </w:pPr>
            <w:r w:rsidRPr="001374C4">
              <w:rPr>
                <w:rFonts w:ascii="Arial" w:hAnsi="Arial" w:cs="Arial"/>
                <w:sz w:val="24"/>
                <w:szCs w:val="24"/>
              </w:rPr>
              <w:t>Review of Vendor invoices and back-ups to the invoices</w:t>
            </w:r>
          </w:p>
        </w:tc>
      </w:tr>
      <w:tr w:rsidR="00C902EA" w:rsidRPr="001374C4" w14:paraId="4415FE2C" w14:textId="77777777" w:rsidTr="00A3691D">
        <w:trPr>
          <w:trHeight w:val="314"/>
        </w:trPr>
        <w:tc>
          <w:tcPr>
            <w:tcW w:w="2574" w:type="pct"/>
            <w:tcBorders>
              <w:top w:val="single" w:sz="4" w:space="0" w:color="auto"/>
              <w:left w:val="single" w:sz="4" w:space="0" w:color="auto"/>
              <w:bottom w:val="single" w:sz="4" w:space="0" w:color="auto"/>
              <w:right w:val="single" w:sz="4" w:space="0" w:color="auto"/>
            </w:tcBorders>
            <w:hideMark/>
          </w:tcPr>
          <w:p w14:paraId="3E6DC4A2" w14:textId="77777777" w:rsidR="00C902EA" w:rsidRPr="001374C4" w:rsidRDefault="00C902EA" w:rsidP="00A3691D">
            <w:pPr>
              <w:spacing w:line="256" w:lineRule="auto"/>
              <w:rPr>
                <w:rFonts w:ascii="Arial" w:hAnsi="Arial" w:cs="Arial"/>
                <w:sz w:val="24"/>
                <w:szCs w:val="24"/>
              </w:rPr>
            </w:pPr>
            <w:r w:rsidRPr="001374C4">
              <w:rPr>
                <w:rFonts w:ascii="Arial" w:hAnsi="Arial" w:cs="Arial"/>
                <w:sz w:val="24"/>
                <w:szCs w:val="24"/>
              </w:rPr>
              <w:t>Submit required invoices on time</w:t>
            </w:r>
          </w:p>
        </w:tc>
        <w:tc>
          <w:tcPr>
            <w:tcW w:w="2426" w:type="pct"/>
            <w:tcBorders>
              <w:top w:val="single" w:sz="4" w:space="0" w:color="auto"/>
              <w:left w:val="single" w:sz="4" w:space="0" w:color="auto"/>
              <w:bottom w:val="single" w:sz="4" w:space="0" w:color="auto"/>
              <w:right w:val="single" w:sz="4" w:space="0" w:color="auto"/>
            </w:tcBorders>
            <w:hideMark/>
          </w:tcPr>
          <w:p w14:paraId="141D536B" w14:textId="77777777" w:rsidR="00C902EA" w:rsidRPr="001374C4" w:rsidRDefault="00C902EA" w:rsidP="00A3691D">
            <w:pPr>
              <w:spacing w:line="256" w:lineRule="auto"/>
              <w:rPr>
                <w:rFonts w:ascii="Arial" w:hAnsi="Arial" w:cs="Arial"/>
                <w:sz w:val="24"/>
                <w:szCs w:val="24"/>
              </w:rPr>
            </w:pPr>
            <w:r w:rsidRPr="001374C4">
              <w:rPr>
                <w:rFonts w:ascii="Arial" w:hAnsi="Arial" w:cs="Arial"/>
                <w:sz w:val="24"/>
                <w:szCs w:val="24"/>
              </w:rPr>
              <w:t>Review of Invoices</w:t>
            </w:r>
          </w:p>
        </w:tc>
      </w:tr>
      <w:tr w:rsidR="00C902EA" w:rsidRPr="001374C4" w14:paraId="6F4B5CED" w14:textId="77777777" w:rsidTr="00A3691D">
        <w:trPr>
          <w:trHeight w:val="314"/>
        </w:trPr>
        <w:tc>
          <w:tcPr>
            <w:tcW w:w="2574" w:type="pct"/>
            <w:tcBorders>
              <w:top w:val="single" w:sz="4" w:space="0" w:color="auto"/>
              <w:left w:val="single" w:sz="4" w:space="0" w:color="auto"/>
              <w:bottom w:val="single" w:sz="4" w:space="0" w:color="auto"/>
              <w:right w:val="single" w:sz="4" w:space="0" w:color="auto"/>
            </w:tcBorders>
            <w:hideMark/>
          </w:tcPr>
          <w:p w14:paraId="1AC4B0B5" w14:textId="77777777" w:rsidR="00C902EA" w:rsidRPr="001374C4" w:rsidRDefault="00C902EA" w:rsidP="00A3691D">
            <w:pPr>
              <w:spacing w:line="256" w:lineRule="auto"/>
              <w:rPr>
                <w:rFonts w:ascii="Arial" w:hAnsi="Arial" w:cs="Arial"/>
                <w:sz w:val="24"/>
                <w:szCs w:val="24"/>
              </w:rPr>
            </w:pPr>
            <w:r w:rsidRPr="001374C4">
              <w:rPr>
                <w:rFonts w:ascii="Arial" w:hAnsi="Arial" w:cs="Arial"/>
                <w:sz w:val="24"/>
                <w:szCs w:val="24"/>
              </w:rPr>
              <w:t>Deliver required reports</w:t>
            </w:r>
          </w:p>
        </w:tc>
        <w:tc>
          <w:tcPr>
            <w:tcW w:w="2426" w:type="pct"/>
            <w:tcBorders>
              <w:top w:val="single" w:sz="4" w:space="0" w:color="auto"/>
              <w:left w:val="single" w:sz="4" w:space="0" w:color="auto"/>
              <w:bottom w:val="single" w:sz="4" w:space="0" w:color="auto"/>
              <w:right w:val="single" w:sz="4" w:space="0" w:color="auto"/>
            </w:tcBorders>
            <w:hideMark/>
          </w:tcPr>
          <w:p w14:paraId="06BBD79D" w14:textId="77777777" w:rsidR="00C902EA" w:rsidRPr="001374C4" w:rsidRDefault="00C902EA" w:rsidP="00A3691D">
            <w:pPr>
              <w:spacing w:line="256" w:lineRule="auto"/>
              <w:rPr>
                <w:rFonts w:ascii="Arial" w:hAnsi="Arial" w:cs="Arial"/>
                <w:sz w:val="24"/>
                <w:szCs w:val="24"/>
              </w:rPr>
            </w:pPr>
            <w:r w:rsidRPr="001374C4">
              <w:rPr>
                <w:rFonts w:ascii="Arial" w:hAnsi="Arial" w:cs="Arial"/>
                <w:sz w:val="24"/>
                <w:szCs w:val="24"/>
              </w:rPr>
              <w:t>Review of Reports and Deadlines</w:t>
            </w:r>
          </w:p>
        </w:tc>
      </w:tr>
    </w:tbl>
    <w:p w14:paraId="11CEA46B" w14:textId="77777777" w:rsidR="00A653AA" w:rsidRDefault="00A653AA" w:rsidP="00A653AA">
      <w:pPr>
        <w:spacing w:line="256" w:lineRule="auto"/>
        <w:rPr>
          <w:rFonts w:ascii="Arial" w:eastAsia="Calibri" w:hAnsi="Arial" w:cs="Arial"/>
          <w:sz w:val="24"/>
          <w:szCs w:val="24"/>
        </w:rPr>
      </w:pPr>
    </w:p>
    <w:p w14:paraId="6500B398" w14:textId="77777777" w:rsidR="00A653AA" w:rsidRPr="00B022FA" w:rsidRDefault="00A653AA" w:rsidP="00A653AA">
      <w:pPr>
        <w:spacing w:line="256" w:lineRule="auto"/>
        <w:rPr>
          <w:rFonts w:ascii="Arial" w:eastAsia="Calibri" w:hAnsi="Arial" w:cs="Arial"/>
          <w:b/>
          <w:sz w:val="24"/>
          <w:szCs w:val="24"/>
          <w:u w:val="single"/>
        </w:rPr>
      </w:pPr>
      <w:r w:rsidRPr="00B022FA">
        <w:rPr>
          <w:rFonts w:ascii="Arial" w:eastAsia="Calibri" w:hAnsi="Arial" w:cs="Arial"/>
          <w:b/>
          <w:sz w:val="24"/>
          <w:szCs w:val="24"/>
          <w:u w:val="single"/>
        </w:rPr>
        <w:t>Quality Improvement</w:t>
      </w:r>
    </w:p>
    <w:p w14:paraId="66F6AC1A" w14:textId="77777777" w:rsidR="00A653AA" w:rsidRPr="00B022FA" w:rsidRDefault="00A653AA" w:rsidP="00A653AA">
      <w:pPr>
        <w:spacing w:line="256" w:lineRule="auto"/>
        <w:rPr>
          <w:rFonts w:ascii="Arial" w:eastAsia="Calibri" w:hAnsi="Arial" w:cs="Arial"/>
          <w:sz w:val="24"/>
          <w:szCs w:val="24"/>
        </w:rPr>
      </w:pPr>
      <w:r w:rsidRPr="00B022FA">
        <w:rPr>
          <w:rFonts w:ascii="Arial" w:eastAsia="Calibri" w:hAnsi="Arial" w:cs="Arial"/>
          <w:sz w:val="24"/>
          <w:szCs w:val="24"/>
        </w:rPr>
        <w:t xml:space="preserve">Vendor shall implement a method for identifying, evaluating, and correcting deficiencies in the quality and quantity of services to be provided under any resulting contract arising out of this RFP. The quality assurance plan shall include the proposed indicators essential to assess the Vendor’s performance and the overall adequacy of services being provided to individuals in the target population. </w:t>
      </w:r>
    </w:p>
    <w:p w14:paraId="20355224" w14:textId="77777777" w:rsidR="00A653AA" w:rsidRPr="00B022FA" w:rsidRDefault="00A653AA" w:rsidP="00A653AA">
      <w:pPr>
        <w:pStyle w:val="ListParagraph"/>
        <w:numPr>
          <w:ilvl w:val="0"/>
          <w:numId w:val="15"/>
        </w:numPr>
        <w:spacing w:line="256" w:lineRule="auto"/>
        <w:rPr>
          <w:rFonts w:ascii="Arial" w:eastAsia="Calibri" w:hAnsi="Arial" w:cs="Arial"/>
          <w:sz w:val="24"/>
          <w:szCs w:val="24"/>
        </w:rPr>
      </w:pPr>
      <w:r w:rsidRPr="00B022FA">
        <w:rPr>
          <w:rFonts w:ascii="Arial" w:eastAsia="Calibri" w:hAnsi="Arial" w:cs="Arial"/>
          <w:sz w:val="24"/>
          <w:szCs w:val="24"/>
        </w:rPr>
        <w:lastRenderedPageBreak/>
        <w:t>Vendor must comply with HIPAA and 42 CFR, Part 2.</w:t>
      </w:r>
    </w:p>
    <w:p w14:paraId="389CE9BF" w14:textId="77777777" w:rsidR="00A653AA" w:rsidRPr="00B022FA" w:rsidRDefault="00A653AA" w:rsidP="00A653AA">
      <w:pPr>
        <w:pStyle w:val="ListParagraph"/>
        <w:numPr>
          <w:ilvl w:val="0"/>
          <w:numId w:val="15"/>
        </w:numPr>
        <w:spacing w:after="0" w:line="257" w:lineRule="auto"/>
        <w:rPr>
          <w:rFonts w:ascii="Arial" w:eastAsia="Calibri" w:hAnsi="Arial" w:cs="Arial"/>
          <w:sz w:val="24"/>
          <w:szCs w:val="24"/>
        </w:rPr>
      </w:pPr>
      <w:r w:rsidRPr="00B022FA">
        <w:rPr>
          <w:rFonts w:ascii="Arial" w:eastAsia="Calibri" w:hAnsi="Arial" w:cs="Arial"/>
          <w:sz w:val="24"/>
          <w:szCs w:val="24"/>
        </w:rPr>
        <w:t>Vendor must comply with regular program and service reporting.</w:t>
      </w:r>
    </w:p>
    <w:p w14:paraId="76C026D7" w14:textId="77777777" w:rsidR="00A653AA" w:rsidRPr="00B022FA" w:rsidRDefault="00A653AA" w:rsidP="00A653AA">
      <w:pPr>
        <w:spacing w:after="0" w:line="257" w:lineRule="auto"/>
        <w:rPr>
          <w:rFonts w:ascii="Arial" w:eastAsia="Calibri" w:hAnsi="Arial" w:cs="Arial"/>
          <w:b/>
          <w:sz w:val="24"/>
          <w:szCs w:val="24"/>
          <w:u w:val="single"/>
        </w:rPr>
      </w:pPr>
    </w:p>
    <w:p w14:paraId="449EF9DF" w14:textId="77777777" w:rsidR="00A653AA" w:rsidRPr="00B022FA" w:rsidRDefault="00A653AA" w:rsidP="00A653AA">
      <w:pPr>
        <w:spacing w:after="0" w:line="257" w:lineRule="auto"/>
        <w:rPr>
          <w:rFonts w:ascii="Arial" w:eastAsia="Calibri" w:hAnsi="Arial" w:cs="Arial"/>
          <w:b/>
          <w:sz w:val="24"/>
          <w:szCs w:val="24"/>
          <w:u w:val="single"/>
        </w:rPr>
      </w:pPr>
      <w:r w:rsidRPr="00B022FA">
        <w:rPr>
          <w:rFonts w:ascii="Arial" w:eastAsia="Calibri" w:hAnsi="Arial" w:cs="Arial"/>
          <w:b/>
          <w:sz w:val="24"/>
          <w:szCs w:val="24"/>
          <w:u w:val="single"/>
        </w:rPr>
        <w:t xml:space="preserve">Measurement and Key Outcome Indicators </w:t>
      </w:r>
    </w:p>
    <w:p w14:paraId="21E4ABEB" w14:textId="77777777" w:rsidR="00A653AA" w:rsidRPr="00B022FA" w:rsidRDefault="00A653AA" w:rsidP="00A653AA">
      <w:pPr>
        <w:shd w:val="clear" w:color="auto" w:fill="FFFFFF"/>
        <w:spacing w:after="0" w:line="257" w:lineRule="auto"/>
        <w:rPr>
          <w:rFonts w:ascii="Arial" w:eastAsia="Calibri" w:hAnsi="Arial" w:cs="Arial"/>
          <w:sz w:val="24"/>
          <w:szCs w:val="24"/>
        </w:rPr>
      </w:pPr>
      <w:r w:rsidRPr="00B022FA">
        <w:rPr>
          <w:rFonts w:ascii="Arial" w:eastAsia="Calibri" w:hAnsi="Arial" w:cs="Arial"/>
          <w:sz w:val="24"/>
          <w:szCs w:val="24"/>
        </w:rPr>
        <w:t>The Vendor will be required to establish a monthly reporting process at the time of contracting and on an ongoing basis to monitor project milestones.  Additional reporting measures may be asked of the Vendor ad hoc by DSAMH as needed.  Below are the category measures that the Vendor shall be asked to collect:</w:t>
      </w:r>
    </w:p>
    <w:p w14:paraId="5CA409EC" w14:textId="77777777" w:rsidR="00A653AA" w:rsidRPr="00B022FA" w:rsidRDefault="00A653AA" w:rsidP="00A653AA">
      <w:pPr>
        <w:shd w:val="clear" w:color="auto" w:fill="FFFFFF"/>
        <w:spacing w:after="0" w:line="256" w:lineRule="auto"/>
        <w:rPr>
          <w:rFonts w:ascii="Arial" w:eastAsia="Calibri" w:hAnsi="Arial" w:cs="Arial"/>
          <w:sz w:val="24"/>
          <w:szCs w:val="24"/>
        </w:rPr>
      </w:pPr>
    </w:p>
    <w:p w14:paraId="1C1D7B61" w14:textId="77777777" w:rsidR="00A653AA" w:rsidRPr="00B022FA" w:rsidRDefault="00A653AA" w:rsidP="00A653AA">
      <w:pPr>
        <w:pStyle w:val="ListParagraph"/>
        <w:numPr>
          <w:ilvl w:val="0"/>
          <w:numId w:val="16"/>
        </w:numPr>
        <w:rPr>
          <w:rFonts w:ascii="Arial" w:eastAsia="Calibri" w:hAnsi="Arial" w:cs="Arial"/>
          <w:sz w:val="24"/>
          <w:szCs w:val="24"/>
        </w:rPr>
      </w:pPr>
      <w:r w:rsidRPr="00B022FA">
        <w:rPr>
          <w:rFonts w:ascii="Arial" w:eastAsia="Calibri" w:hAnsi="Arial" w:cs="Arial"/>
          <w:sz w:val="24"/>
          <w:szCs w:val="24"/>
        </w:rPr>
        <w:t>Rent Reasonableness/Fair Market Rent (FMR): Provide SAP, SHP, and TCM location documentation that the rent charged for the units is reasonable compared to unassisted units in the local area, or within established FMR limits. The methodology used for this determination should be clearly documented.</w:t>
      </w:r>
    </w:p>
    <w:p w14:paraId="3212E725" w14:textId="77777777" w:rsidR="00A653AA" w:rsidRPr="00B022FA" w:rsidRDefault="00A653AA" w:rsidP="00A653AA">
      <w:pPr>
        <w:pStyle w:val="ListParagraph"/>
        <w:numPr>
          <w:ilvl w:val="0"/>
          <w:numId w:val="16"/>
        </w:numPr>
        <w:rPr>
          <w:rFonts w:ascii="Arial" w:eastAsia="Calibri" w:hAnsi="Arial" w:cs="Arial"/>
          <w:sz w:val="24"/>
          <w:szCs w:val="24"/>
        </w:rPr>
      </w:pPr>
      <w:r w:rsidRPr="00B022FA">
        <w:rPr>
          <w:rFonts w:ascii="Arial" w:eastAsia="Calibri" w:hAnsi="Arial" w:cs="Arial"/>
          <w:sz w:val="24"/>
          <w:szCs w:val="24"/>
        </w:rPr>
        <w:t>Subsidy Payment Documentation: For clients in SAP/SHP receiving rental assistance funds, reports must detail the accurate calculation and payment of subsidies, ensuring the tenant contribution to rent is affordable based on their income.</w:t>
      </w:r>
    </w:p>
    <w:p w14:paraId="1A3A450B" w14:textId="77777777" w:rsidR="00A653AA" w:rsidRPr="00B022FA" w:rsidRDefault="00A653AA" w:rsidP="00A653AA">
      <w:pPr>
        <w:pStyle w:val="ListParagraph"/>
        <w:numPr>
          <w:ilvl w:val="0"/>
          <w:numId w:val="16"/>
        </w:numPr>
        <w:shd w:val="clear" w:color="auto" w:fill="FFFFFF"/>
        <w:spacing w:after="0" w:line="256" w:lineRule="auto"/>
        <w:rPr>
          <w:rFonts w:ascii="Arial" w:eastAsia="Calibri" w:hAnsi="Arial" w:cs="Arial"/>
          <w:sz w:val="24"/>
          <w:szCs w:val="24"/>
        </w:rPr>
      </w:pPr>
      <w:r w:rsidRPr="00B022FA">
        <w:rPr>
          <w:rFonts w:ascii="Arial" w:eastAsia="Calibri" w:hAnsi="Arial" w:cs="Arial"/>
          <w:sz w:val="24"/>
          <w:szCs w:val="24"/>
        </w:rPr>
        <w:t>Housing Access and Stability</w:t>
      </w:r>
    </w:p>
    <w:p w14:paraId="48777F3A" w14:textId="77777777" w:rsidR="00A653AA" w:rsidRPr="00B022FA" w:rsidRDefault="00A653AA" w:rsidP="00A653AA">
      <w:pPr>
        <w:numPr>
          <w:ilvl w:val="1"/>
          <w:numId w:val="17"/>
        </w:numPr>
        <w:shd w:val="clear" w:color="auto" w:fill="FFFFFF"/>
        <w:spacing w:after="0" w:line="256" w:lineRule="auto"/>
        <w:rPr>
          <w:rFonts w:ascii="Arial" w:eastAsia="Calibri" w:hAnsi="Arial" w:cs="Arial"/>
          <w:sz w:val="24"/>
          <w:szCs w:val="24"/>
        </w:rPr>
      </w:pPr>
      <w:r w:rsidRPr="00B022FA">
        <w:rPr>
          <w:rFonts w:ascii="Arial" w:eastAsia="Calibri" w:hAnsi="Arial" w:cs="Arial"/>
          <w:sz w:val="24"/>
          <w:szCs w:val="24"/>
        </w:rPr>
        <w:t>SAP-</w:t>
      </w:r>
      <w:bookmarkStart w:id="8" w:name="_Hlk214018908"/>
      <w:r w:rsidRPr="00B022FA">
        <w:rPr>
          <w:rFonts w:ascii="Arial" w:hAnsi="Arial" w:cs="Arial"/>
          <w:b/>
          <w:bCs/>
          <w:sz w:val="24"/>
          <w:szCs w:val="24"/>
          <w:shd w:val="clear" w:color="auto" w:fill="FFFFFF"/>
        </w:rPr>
        <w:t xml:space="preserve"> </w:t>
      </w:r>
      <w:r w:rsidRPr="00B022FA">
        <w:rPr>
          <w:rFonts w:ascii="Arial" w:eastAsia="Calibri" w:hAnsi="Arial" w:cs="Arial"/>
          <w:sz w:val="24"/>
          <w:szCs w:val="24"/>
        </w:rPr>
        <w:t xml:space="preserve">vacancy and occupancy rates; </w:t>
      </w:r>
      <w:r w:rsidRPr="00812FEE">
        <w:rPr>
          <w:rFonts w:ascii="Arial" w:eastAsia="Calibri" w:hAnsi="Arial" w:cs="Arial"/>
          <w:sz w:val="24"/>
          <w:szCs w:val="24"/>
        </w:rPr>
        <w:t>monthly census</w:t>
      </w:r>
      <w:r w:rsidRPr="00B022FA">
        <w:rPr>
          <w:rFonts w:ascii="Arial" w:eastAsia="Calibri" w:hAnsi="Arial" w:cs="Arial"/>
          <w:sz w:val="24"/>
          <w:szCs w:val="24"/>
        </w:rPr>
        <w:t xml:space="preserve"> by location </w:t>
      </w:r>
      <w:r w:rsidRPr="000215C5">
        <w:rPr>
          <w:rFonts w:ascii="Arial" w:eastAsia="Calibri" w:hAnsi="Arial" w:cs="Arial"/>
          <w:sz w:val="24"/>
          <w:szCs w:val="24"/>
        </w:rPr>
        <w:t>including basic client demographics (gender, age, race and ethnicity).</w:t>
      </w:r>
      <w:r w:rsidRPr="00B022FA">
        <w:rPr>
          <w:rFonts w:ascii="Arial" w:eastAsia="Calibri" w:hAnsi="Arial" w:cs="Arial"/>
          <w:sz w:val="24"/>
          <w:szCs w:val="24"/>
        </w:rPr>
        <w:t xml:space="preserve"> Target consideration for occupancy rates should be at minimum 85% across all leased units. I</w:t>
      </w:r>
      <w:r w:rsidRPr="00812FEE">
        <w:rPr>
          <w:rFonts w:ascii="Arial" w:eastAsia="Calibri" w:hAnsi="Arial" w:cs="Arial"/>
          <w:sz w:val="24"/>
          <w:szCs w:val="24"/>
        </w:rPr>
        <w:t>nclude number of referrals</w:t>
      </w:r>
      <w:r w:rsidRPr="00B022FA">
        <w:rPr>
          <w:rFonts w:ascii="Arial" w:eastAsia="Calibri" w:hAnsi="Arial" w:cs="Arial"/>
          <w:sz w:val="24"/>
          <w:szCs w:val="24"/>
        </w:rPr>
        <w:t xml:space="preserve"> </w:t>
      </w:r>
      <w:r w:rsidRPr="00812FEE">
        <w:rPr>
          <w:rFonts w:ascii="Arial" w:eastAsia="Calibri" w:hAnsi="Arial" w:cs="Arial"/>
          <w:sz w:val="24"/>
          <w:szCs w:val="24"/>
        </w:rPr>
        <w:t>received and number of referrals accepted per month</w:t>
      </w:r>
      <w:r w:rsidRPr="00B022FA">
        <w:rPr>
          <w:rFonts w:ascii="Arial" w:eastAsia="Calibri" w:hAnsi="Arial" w:cs="Arial"/>
          <w:sz w:val="24"/>
          <w:szCs w:val="24"/>
        </w:rPr>
        <w:t xml:space="preserve"> (report reasons for denial)</w:t>
      </w:r>
      <w:r w:rsidRPr="00812FEE">
        <w:rPr>
          <w:rFonts w:ascii="Arial" w:eastAsia="Calibri" w:hAnsi="Arial" w:cs="Arial"/>
          <w:sz w:val="24"/>
          <w:szCs w:val="24"/>
        </w:rPr>
        <w:t xml:space="preserve">; </w:t>
      </w:r>
      <w:r w:rsidRPr="00B022FA">
        <w:rPr>
          <w:rFonts w:ascii="Arial" w:eastAsia="Calibri" w:hAnsi="Arial" w:cs="Arial"/>
          <w:sz w:val="24"/>
          <w:szCs w:val="24"/>
        </w:rPr>
        <w:t>a</w:t>
      </w:r>
      <w:r w:rsidRPr="00812FEE">
        <w:rPr>
          <w:rFonts w:ascii="Arial" w:eastAsia="Calibri" w:hAnsi="Arial" w:cs="Arial"/>
          <w:sz w:val="24"/>
          <w:szCs w:val="24"/>
        </w:rPr>
        <w:t>verage length of stay per client</w:t>
      </w:r>
      <w:r w:rsidRPr="00B022FA">
        <w:rPr>
          <w:rFonts w:ascii="Arial" w:eastAsia="Calibri" w:hAnsi="Arial" w:cs="Arial"/>
          <w:sz w:val="24"/>
          <w:szCs w:val="24"/>
        </w:rPr>
        <w:t xml:space="preserve">; percentage of clients maintaining housing for </w:t>
      </w:r>
      <w:r w:rsidRPr="00812FEE">
        <w:rPr>
          <w:rFonts w:ascii="Arial" w:eastAsia="Calibri" w:hAnsi="Arial" w:cs="Arial"/>
          <w:sz w:val="24"/>
          <w:szCs w:val="24"/>
        </w:rPr>
        <w:t xml:space="preserve">≥ </w:t>
      </w:r>
      <w:r w:rsidRPr="00B022FA">
        <w:rPr>
          <w:rFonts w:ascii="Arial" w:eastAsia="Calibri" w:hAnsi="Arial" w:cs="Arial"/>
          <w:sz w:val="24"/>
          <w:szCs w:val="24"/>
        </w:rPr>
        <w:t>6 months; and rate of successful lease renewals or transitions to independent housing.</w:t>
      </w:r>
    </w:p>
    <w:bookmarkEnd w:id="8"/>
    <w:p w14:paraId="2B58B1CF" w14:textId="77777777" w:rsidR="00A653AA" w:rsidRPr="00B022FA" w:rsidRDefault="00A653AA" w:rsidP="00A653AA">
      <w:pPr>
        <w:numPr>
          <w:ilvl w:val="1"/>
          <w:numId w:val="17"/>
        </w:numPr>
        <w:shd w:val="clear" w:color="auto" w:fill="FFFFFF"/>
        <w:spacing w:after="0" w:line="256" w:lineRule="auto"/>
        <w:rPr>
          <w:rFonts w:ascii="Arial" w:eastAsia="Calibri" w:hAnsi="Arial" w:cs="Arial"/>
          <w:sz w:val="24"/>
          <w:szCs w:val="24"/>
        </w:rPr>
      </w:pPr>
      <w:r w:rsidRPr="00B022FA">
        <w:rPr>
          <w:rFonts w:ascii="Arial" w:eastAsia="Calibri" w:hAnsi="Arial" w:cs="Arial"/>
          <w:sz w:val="24"/>
          <w:szCs w:val="24"/>
        </w:rPr>
        <w:t xml:space="preserve">SHP- vacancy and occupancy rates; </w:t>
      </w:r>
      <w:r w:rsidRPr="00812FEE">
        <w:rPr>
          <w:rFonts w:ascii="Arial" w:eastAsia="Calibri" w:hAnsi="Arial" w:cs="Arial"/>
          <w:sz w:val="24"/>
          <w:szCs w:val="24"/>
        </w:rPr>
        <w:t>monthly census</w:t>
      </w:r>
      <w:r w:rsidRPr="00B022FA">
        <w:rPr>
          <w:rFonts w:ascii="Arial" w:eastAsia="Calibri" w:hAnsi="Arial" w:cs="Arial"/>
          <w:sz w:val="24"/>
          <w:szCs w:val="24"/>
        </w:rPr>
        <w:t xml:space="preserve"> by location </w:t>
      </w:r>
      <w:r w:rsidRPr="000215C5">
        <w:rPr>
          <w:rFonts w:ascii="Arial" w:eastAsia="Calibri" w:hAnsi="Arial" w:cs="Arial"/>
          <w:sz w:val="24"/>
          <w:szCs w:val="24"/>
        </w:rPr>
        <w:t>including basic client demographics (gender, age, race and ethnicity)</w:t>
      </w:r>
      <w:r w:rsidRPr="00812FEE">
        <w:rPr>
          <w:rFonts w:ascii="Arial" w:eastAsia="Calibri" w:hAnsi="Arial" w:cs="Arial"/>
          <w:sz w:val="24"/>
          <w:szCs w:val="24"/>
        </w:rPr>
        <w:t xml:space="preserve">; </w:t>
      </w:r>
      <w:r w:rsidRPr="00B022FA">
        <w:rPr>
          <w:rFonts w:ascii="Arial" w:eastAsia="Calibri" w:hAnsi="Arial" w:cs="Arial"/>
          <w:sz w:val="24"/>
          <w:szCs w:val="24"/>
        </w:rPr>
        <w:t>a</w:t>
      </w:r>
      <w:r w:rsidRPr="00812FEE">
        <w:rPr>
          <w:rFonts w:ascii="Arial" w:eastAsia="Calibri" w:hAnsi="Arial" w:cs="Arial"/>
          <w:sz w:val="24"/>
          <w:szCs w:val="24"/>
        </w:rPr>
        <w:t>verage length of stay per client</w:t>
      </w:r>
      <w:r w:rsidRPr="00B022FA">
        <w:rPr>
          <w:rFonts w:ascii="Arial" w:eastAsia="Calibri" w:hAnsi="Arial" w:cs="Arial"/>
          <w:sz w:val="24"/>
          <w:szCs w:val="24"/>
        </w:rPr>
        <w:t xml:space="preserve">; percentage of clients maintaining housing for </w:t>
      </w:r>
      <w:r w:rsidRPr="00812FEE">
        <w:rPr>
          <w:rFonts w:ascii="Arial" w:eastAsia="Calibri" w:hAnsi="Arial" w:cs="Arial"/>
          <w:sz w:val="24"/>
          <w:szCs w:val="24"/>
        </w:rPr>
        <w:t xml:space="preserve">≥ </w:t>
      </w:r>
      <w:r w:rsidRPr="00B022FA">
        <w:rPr>
          <w:rFonts w:ascii="Arial" w:eastAsia="Calibri" w:hAnsi="Arial" w:cs="Arial"/>
          <w:sz w:val="24"/>
          <w:szCs w:val="24"/>
        </w:rPr>
        <w:t>6 months; rate of successful lease renewals or transitions to independent housing.</w:t>
      </w:r>
    </w:p>
    <w:p w14:paraId="04AA0E98" w14:textId="77777777" w:rsidR="00A653AA" w:rsidRPr="00B022FA" w:rsidRDefault="00A653AA" w:rsidP="00A653AA">
      <w:pPr>
        <w:pStyle w:val="ListParagraph"/>
        <w:numPr>
          <w:ilvl w:val="0"/>
          <w:numId w:val="17"/>
        </w:numPr>
        <w:spacing w:after="0"/>
        <w:rPr>
          <w:rFonts w:ascii="Arial" w:eastAsia="Calibri" w:hAnsi="Arial" w:cs="Arial"/>
          <w:sz w:val="24"/>
          <w:szCs w:val="24"/>
        </w:rPr>
      </w:pPr>
      <w:r w:rsidRPr="00B022FA">
        <w:rPr>
          <w:rFonts w:ascii="Arial" w:eastAsia="Calibri" w:hAnsi="Arial" w:cs="Arial"/>
          <w:sz w:val="24"/>
          <w:szCs w:val="24"/>
        </w:rPr>
        <w:t>Lease Compliance and Property Management</w:t>
      </w:r>
    </w:p>
    <w:p w14:paraId="0AFEA022" w14:textId="77777777" w:rsidR="00A653AA" w:rsidRPr="00B022FA" w:rsidRDefault="00A653AA" w:rsidP="00A653AA">
      <w:pPr>
        <w:pStyle w:val="ListParagraph"/>
        <w:numPr>
          <w:ilvl w:val="1"/>
          <w:numId w:val="17"/>
        </w:numPr>
        <w:spacing w:after="0"/>
        <w:rPr>
          <w:rFonts w:ascii="Arial" w:eastAsia="Calibri" w:hAnsi="Arial" w:cs="Arial"/>
          <w:sz w:val="24"/>
          <w:szCs w:val="24"/>
        </w:rPr>
      </w:pPr>
      <w:r w:rsidRPr="00B022FA">
        <w:rPr>
          <w:rFonts w:ascii="Arial" w:eastAsia="Calibri" w:hAnsi="Arial" w:cs="Arial"/>
          <w:sz w:val="24"/>
          <w:szCs w:val="24"/>
        </w:rPr>
        <w:t>SAP-</w:t>
      </w:r>
      <w:bookmarkStart w:id="9" w:name="_Hlk214019244"/>
      <w:bookmarkStart w:id="10" w:name="_Hlk214020028"/>
      <w:r w:rsidRPr="00B022FA">
        <w:rPr>
          <w:rFonts w:ascii="Arial" w:hAnsi="Arial" w:cs="Arial"/>
          <w:kern w:val="2"/>
          <w:sz w:val="24"/>
          <w:szCs w:val="24"/>
          <w14:ligatures w14:val="standardContextual"/>
        </w:rPr>
        <w:t>arrears report (tracking outstanding payments on a client/tenant-by-client/tenant basis. These reports should include details like tenant name, unit number, amount due, amount paid, net arrear balance, and any plans for resolution); number of units inspected; p</w:t>
      </w:r>
      <w:r w:rsidRPr="00B022FA">
        <w:rPr>
          <w:rFonts w:ascii="Arial" w:eastAsia="Calibri" w:hAnsi="Arial" w:cs="Arial"/>
          <w:sz w:val="24"/>
          <w:szCs w:val="24"/>
        </w:rPr>
        <w:t xml:space="preserve">ercentage of units passing quarterly inspections; </w:t>
      </w:r>
      <w:bookmarkEnd w:id="9"/>
      <w:r w:rsidRPr="00B022FA">
        <w:rPr>
          <w:rFonts w:ascii="Arial" w:eastAsia="Calibri" w:hAnsi="Arial" w:cs="Arial"/>
          <w:sz w:val="24"/>
          <w:szCs w:val="24"/>
        </w:rPr>
        <w:t>n</w:t>
      </w:r>
      <w:r w:rsidRPr="00490B27">
        <w:rPr>
          <w:rFonts w:ascii="Arial" w:eastAsia="Calibri" w:hAnsi="Arial" w:cs="Arial"/>
          <w:sz w:val="24"/>
          <w:szCs w:val="24"/>
        </w:rPr>
        <w:t xml:space="preserve">umber of lease violations </w:t>
      </w:r>
      <w:r w:rsidRPr="00B022FA">
        <w:rPr>
          <w:rFonts w:ascii="Arial" w:eastAsia="Calibri" w:hAnsi="Arial" w:cs="Arial"/>
          <w:sz w:val="24"/>
          <w:szCs w:val="24"/>
        </w:rPr>
        <w:t>and/</w:t>
      </w:r>
      <w:r w:rsidRPr="00490B27">
        <w:rPr>
          <w:rFonts w:ascii="Arial" w:eastAsia="Calibri" w:hAnsi="Arial" w:cs="Arial"/>
          <w:sz w:val="24"/>
          <w:szCs w:val="24"/>
        </w:rPr>
        <w:t>or eviction notices issued</w:t>
      </w:r>
      <w:r w:rsidRPr="00B022FA">
        <w:rPr>
          <w:rFonts w:ascii="Arial" w:eastAsia="Calibri" w:hAnsi="Arial" w:cs="Arial"/>
          <w:sz w:val="24"/>
          <w:szCs w:val="24"/>
        </w:rPr>
        <w:t xml:space="preserve">; </w:t>
      </w:r>
      <w:bookmarkStart w:id="11" w:name="_Hlk214019262"/>
      <w:r w:rsidRPr="00B022FA">
        <w:rPr>
          <w:rFonts w:ascii="Arial" w:eastAsia="Calibri" w:hAnsi="Arial" w:cs="Arial"/>
          <w:sz w:val="24"/>
          <w:szCs w:val="24"/>
        </w:rPr>
        <w:t>percentage of tenants who avoid eviction through coordinated support and intervention; a</w:t>
      </w:r>
      <w:r w:rsidRPr="00490B27">
        <w:rPr>
          <w:rFonts w:ascii="Arial" w:eastAsia="Calibri" w:hAnsi="Arial" w:cs="Arial"/>
          <w:sz w:val="24"/>
          <w:szCs w:val="24"/>
        </w:rPr>
        <w:t>verage response time to maintenance or safety issues</w:t>
      </w:r>
      <w:r w:rsidRPr="00B022FA">
        <w:rPr>
          <w:rFonts w:ascii="Arial" w:eastAsia="Calibri" w:hAnsi="Arial" w:cs="Arial"/>
          <w:sz w:val="24"/>
          <w:szCs w:val="24"/>
        </w:rPr>
        <w:t>; percentage of maintenance requests resolved within 48 hours; average number of days to prepare and reoccupy a vacated unit.</w:t>
      </w:r>
      <w:bookmarkEnd w:id="10"/>
    </w:p>
    <w:bookmarkEnd w:id="11"/>
    <w:p w14:paraId="6551F3B1" w14:textId="77777777" w:rsidR="00A653AA" w:rsidRPr="00B022FA" w:rsidRDefault="00A653AA" w:rsidP="00A653AA">
      <w:pPr>
        <w:pStyle w:val="ListParagraph"/>
        <w:numPr>
          <w:ilvl w:val="1"/>
          <w:numId w:val="17"/>
        </w:numPr>
        <w:spacing w:after="0"/>
        <w:rPr>
          <w:rFonts w:ascii="Arial" w:eastAsia="Calibri" w:hAnsi="Arial" w:cs="Arial"/>
          <w:sz w:val="24"/>
          <w:szCs w:val="24"/>
        </w:rPr>
      </w:pPr>
      <w:r w:rsidRPr="00B022FA">
        <w:rPr>
          <w:rFonts w:ascii="Arial" w:eastAsia="Calibri" w:hAnsi="Arial" w:cs="Arial"/>
          <w:sz w:val="24"/>
          <w:szCs w:val="24"/>
        </w:rPr>
        <w:t>SHP-</w:t>
      </w:r>
      <w:r w:rsidRPr="00B022FA">
        <w:rPr>
          <w:rFonts w:ascii="Arial" w:hAnsi="Arial" w:cs="Arial"/>
          <w:kern w:val="2"/>
          <w:sz w:val="24"/>
          <w:szCs w:val="24"/>
          <w14:ligatures w14:val="standardContextual"/>
        </w:rPr>
        <w:t xml:space="preserve"> </w:t>
      </w:r>
      <w:bookmarkStart w:id="12" w:name="_Hlk214020111"/>
      <w:r w:rsidRPr="00B022FA">
        <w:rPr>
          <w:rFonts w:ascii="Arial" w:eastAsia="Calibri" w:hAnsi="Arial" w:cs="Arial"/>
          <w:sz w:val="24"/>
          <w:szCs w:val="24"/>
        </w:rPr>
        <w:t xml:space="preserve">arrears report (tracking outstanding payments on a client/tenant-by-client/tenant basis. These reports should include details like tenant name, unit number, amount due, amount paid, net arrear balance, and any plans for resolution); number of units inspected; percentage </w:t>
      </w:r>
      <w:bookmarkEnd w:id="12"/>
      <w:r w:rsidRPr="00B022FA">
        <w:rPr>
          <w:rFonts w:ascii="Arial" w:eastAsia="Calibri" w:hAnsi="Arial" w:cs="Arial"/>
          <w:sz w:val="24"/>
          <w:szCs w:val="24"/>
        </w:rPr>
        <w:t>of units passing quarterly inspections; n</w:t>
      </w:r>
      <w:r w:rsidRPr="00490B27">
        <w:rPr>
          <w:rFonts w:ascii="Arial" w:eastAsia="Calibri" w:hAnsi="Arial" w:cs="Arial"/>
          <w:sz w:val="24"/>
          <w:szCs w:val="24"/>
        </w:rPr>
        <w:t xml:space="preserve">umber of lease violations </w:t>
      </w:r>
      <w:r w:rsidRPr="00B022FA">
        <w:rPr>
          <w:rFonts w:ascii="Arial" w:eastAsia="Calibri" w:hAnsi="Arial" w:cs="Arial"/>
          <w:sz w:val="24"/>
          <w:szCs w:val="24"/>
        </w:rPr>
        <w:t>and/</w:t>
      </w:r>
      <w:r w:rsidRPr="00490B27">
        <w:rPr>
          <w:rFonts w:ascii="Arial" w:eastAsia="Calibri" w:hAnsi="Arial" w:cs="Arial"/>
          <w:sz w:val="24"/>
          <w:szCs w:val="24"/>
        </w:rPr>
        <w:t>or eviction notices issued</w:t>
      </w:r>
      <w:r w:rsidRPr="00B022FA">
        <w:rPr>
          <w:rFonts w:ascii="Arial" w:eastAsia="Calibri" w:hAnsi="Arial" w:cs="Arial"/>
          <w:sz w:val="24"/>
          <w:szCs w:val="24"/>
        </w:rPr>
        <w:t xml:space="preserve">; </w:t>
      </w:r>
      <w:r w:rsidRPr="00B022FA">
        <w:rPr>
          <w:rFonts w:ascii="Arial" w:eastAsia="Calibri" w:hAnsi="Arial" w:cs="Arial"/>
          <w:sz w:val="24"/>
          <w:szCs w:val="24"/>
        </w:rPr>
        <w:lastRenderedPageBreak/>
        <w:t>percentage of tenants who avoid eviction through coordinated support and intervention; a</w:t>
      </w:r>
      <w:r w:rsidRPr="00490B27">
        <w:rPr>
          <w:rFonts w:ascii="Arial" w:eastAsia="Calibri" w:hAnsi="Arial" w:cs="Arial"/>
          <w:sz w:val="24"/>
          <w:szCs w:val="24"/>
        </w:rPr>
        <w:t>verage response time to maintenance or safety issues</w:t>
      </w:r>
      <w:r w:rsidRPr="00B022FA">
        <w:rPr>
          <w:rFonts w:ascii="Arial" w:eastAsia="Calibri" w:hAnsi="Arial" w:cs="Arial"/>
          <w:sz w:val="24"/>
          <w:szCs w:val="24"/>
        </w:rPr>
        <w:t>; percentage of maintenance requests resolved within 48 hours; and average number of days to prepare a vacated unit for relinquishment.</w:t>
      </w:r>
    </w:p>
    <w:p w14:paraId="13FEC81C" w14:textId="77777777" w:rsidR="00A653AA" w:rsidRPr="007F01DB" w:rsidRDefault="00A653AA" w:rsidP="00A653AA">
      <w:pPr>
        <w:pStyle w:val="ListParagraph"/>
        <w:numPr>
          <w:ilvl w:val="1"/>
          <w:numId w:val="17"/>
        </w:numPr>
        <w:spacing w:after="0"/>
        <w:rPr>
          <w:rFonts w:ascii="Arial" w:eastAsia="Calibri" w:hAnsi="Arial" w:cs="Arial"/>
          <w:sz w:val="24"/>
          <w:szCs w:val="24"/>
        </w:rPr>
      </w:pPr>
      <w:r w:rsidRPr="00B022FA">
        <w:rPr>
          <w:rFonts w:ascii="Arial" w:eastAsia="Calibri" w:hAnsi="Arial" w:cs="Arial"/>
          <w:sz w:val="24"/>
          <w:szCs w:val="24"/>
        </w:rPr>
        <w:t>TCM- number of units inspected; percentage of units passing quarterly inspections; a</w:t>
      </w:r>
      <w:r w:rsidRPr="00490B27">
        <w:rPr>
          <w:rFonts w:ascii="Arial" w:eastAsia="Calibri" w:hAnsi="Arial" w:cs="Arial"/>
          <w:sz w:val="24"/>
          <w:szCs w:val="24"/>
        </w:rPr>
        <w:t>verage response time to maintenance or safety issues</w:t>
      </w:r>
      <w:r w:rsidRPr="00B022FA">
        <w:rPr>
          <w:rFonts w:ascii="Arial" w:eastAsia="Calibri" w:hAnsi="Arial" w:cs="Arial"/>
          <w:sz w:val="24"/>
          <w:szCs w:val="24"/>
        </w:rPr>
        <w:t>. percentage of maintenance requests resolved within 48 hours; and average number of days to prepare and reoccupy a vacated unit in coordination with designated DSAMH TCM lead as occupancy is handled by DSAMH TCM staff.</w:t>
      </w:r>
    </w:p>
    <w:p w14:paraId="304FA8D9" w14:textId="77777777" w:rsidR="00A653AA" w:rsidRPr="00812FEE" w:rsidRDefault="00A653AA" w:rsidP="00A653AA">
      <w:pPr>
        <w:numPr>
          <w:ilvl w:val="0"/>
          <w:numId w:val="17"/>
        </w:numPr>
        <w:shd w:val="clear" w:color="auto" w:fill="FFFFFF"/>
        <w:spacing w:after="0" w:line="256" w:lineRule="auto"/>
        <w:rPr>
          <w:rFonts w:ascii="Arial" w:eastAsia="Calibri" w:hAnsi="Arial" w:cs="Arial"/>
          <w:sz w:val="24"/>
          <w:szCs w:val="24"/>
        </w:rPr>
      </w:pPr>
      <w:r w:rsidRPr="00812FEE">
        <w:rPr>
          <w:rFonts w:ascii="Arial" w:eastAsia="Calibri" w:hAnsi="Arial" w:cs="Arial"/>
          <w:sz w:val="24"/>
          <w:szCs w:val="24"/>
        </w:rPr>
        <w:t>As part of the quality improvement plan, the monthly program report must also highlight issues raised either by the Vendor as continuous improvement objectives along with recommendations to address these objectives.</w:t>
      </w:r>
    </w:p>
    <w:p w14:paraId="7B0D5C07" w14:textId="77777777" w:rsidR="00A653AA" w:rsidRPr="00B022FA" w:rsidRDefault="00A653AA" w:rsidP="00A653AA">
      <w:pPr>
        <w:shd w:val="clear" w:color="auto" w:fill="FFFFFF"/>
        <w:spacing w:after="0" w:line="256" w:lineRule="auto"/>
        <w:rPr>
          <w:rFonts w:ascii="Arial" w:eastAsia="Calibri" w:hAnsi="Arial" w:cs="Arial"/>
          <w:sz w:val="24"/>
          <w:szCs w:val="24"/>
        </w:rPr>
      </w:pPr>
    </w:p>
    <w:p w14:paraId="4A907885" w14:textId="77777777" w:rsidR="00A653AA" w:rsidRPr="00B022FA" w:rsidRDefault="00A653AA" w:rsidP="00A653AA">
      <w:pPr>
        <w:shd w:val="clear" w:color="auto" w:fill="FFFFFF"/>
        <w:spacing w:after="0" w:line="256" w:lineRule="auto"/>
        <w:rPr>
          <w:rFonts w:ascii="Arial" w:eastAsia="Calibri" w:hAnsi="Arial" w:cs="Arial"/>
          <w:sz w:val="24"/>
          <w:szCs w:val="24"/>
        </w:rPr>
      </w:pPr>
      <w:r w:rsidRPr="00B022FA">
        <w:rPr>
          <w:rFonts w:ascii="Arial" w:eastAsia="Calibri" w:hAnsi="Arial" w:cs="Arial"/>
          <w:sz w:val="24"/>
          <w:szCs w:val="24"/>
        </w:rPr>
        <w:t xml:space="preserve">Presently, the Vendor shall submit monthly program reports to </w:t>
      </w:r>
      <w:hyperlink r:id="rId26" w:history="1">
        <w:r w:rsidRPr="00B022FA">
          <w:rPr>
            <w:rStyle w:val="Hyperlink"/>
            <w:rFonts w:ascii="Arial" w:eastAsia="Calibri" w:hAnsi="Arial" w:cs="Arial"/>
            <w:color w:val="auto"/>
            <w:sz w:val="24"/>
            <w:szCs w:val="24"/>
          </w:rPr>
          <w:t>DSAMH_housing@delaware.gov</w:t>
        </w:r>
      </w:hyperlink>
      <w:r w:rsidRPr="00B022FA">
        <w:rPr>
          <w:rFonts w:ascii="Arial" w:eastAsia="Calibri" w:hAnsi="Arial" w:cs="Arial"/>
          <w:sz w:val="24"/>
          <w:szCs w:val="24"/>
        </w:rPr>
        <w:t xml:space="preserve"> by the 10th of each month for the preceding month of service. Any report information that contains personal health information (PHI) shall be sent via an encrypted email.  DSAMH shall establish the content and format structure of the report.  As DSAMH reviews its various reporting mechanisms for the purpose of standardization across its behavioral health ecosystem, DSAMH reserves the right to shift the mechanism of how monthly program information is submitted which may include submission via a state contracted cloud-based survey platform.  DSAMH shall provide the Vendor 60 days’ notice of any report submission changes in writing.</w:t>
      </w:r>
    </w:p>
    <w:p w14:paraId="236C6973" w14:textId="77777777" w:rsidR="00A653AA" w:rsidRPr="00B022FA" w:rsidRDefault="00A653AA" w:rsidP="00A653AA">
      <w:pPr>
        <w:shd w:val="clear" w:color="auto" w:fill="FFFFFF"/>
        <w:spacing w:after="0" w:line="256" w:lineRule="auto"/>
        <w:ind w:left="720"/>
        <w:rPr>
          <w:rFonts w:ascii="Arial" w:eastAsia="Calibri" w:hAnsi="Arial" w:cs="Arial"/>
          <w:sz w:val="24"/>
          <w:szCs w:val="24"/>
        </w:rPr>
      </w:pPr>
    </w:p>
    <w:p w14:paraId="1116202B" w14:textId="77777777" w:rsidR="00A653AA" w:rsidRPr="00B022FA" w:rsidRDefault="00A653AA" w:rsidP="00A653AA">
      <w:pPr>
        <w:spacing w:after="0"/>
        <w:rPr>
          <w:rFonts w:ascii="Arial" w:hAnsi="Arial" w:cs="Arial"/>
          <w:sz w:val="24"/>
          <w:szCs w:val="24"/>
        </w:rPr>
      </w:pPr>
      <w:r w:rsidRPr="00B022FA">
        <w:rPr>
          <w:rFonts w:ascii="Arial" w:hAnsi="Arial" w:cs="Arial"/>
          <w:sz w:val="24"/>
          <w:szCs w:val="24"/>
        </w:rPr>
        <w:t>DSAMH reserves the right to claw back or hold funds for program reports not submitted.</w:t>
      </w:r>
    </w:p>
    <w:p w14:paraId="18DCDEBA" w14:textId="77777777" w:rsidR="00A653AA" w:rsidRPr="00B022FA" w:rsidRDefault="00A653AA" w:rsidP="00A653AA">
      <w:pPr>
        <w:spacing w:line="256" w:lineRule="auto"/>
        <w:rPr>
          <w:rFonts w:ascii="Arial" w:eastAsia="Calibri" w:hAnsi="Arial" w:cs="Arial"/>
          <w:b/>
          <w:sz w:val="24"/>
          <w:szCs w:val="24"/>
          <w:u w:val="single"/>
        </w:rPr>
      </w:pPr>
    </w:p>
    <w:p w14:paraId="6C593586" w14:textId="77777777" w:rsidR="00A653AA" w:rsidRPr="00B022FA" w:rsidRDefault="00A653AA" w:rsidP="00A653AA">
      <w:pPr>
        <w:spacing w:after="0" w:line="240" w:lineRule="auto"/>
        <w:rPr>
          <w:rFonts w:ascii="Arial" w:eastAsia="Calibri" w:hAnsi="Arial" w:cs="Arial"/>
          <w:b/>
          <w:bCs/>
          <w:sz w:val="24"/>
          <w:szCs w:val="24"/>
          <w:u w:val="single"/>
        </w:rPr>
      </w:pPr>
      <w:r w:rsidRPr="00B022FA">
        <w:rPr>
          <w:rFonts w:ascii="Arial" w:eastAsia="Calibri" w:hAnsi="Arial" w:cs="Arial"/>
          <w:b/>
          <w:bCs/>
          <w:sz w:val="24"/>
          <w:szCs w:val="24"/>
          <w:u w:val="single"/>
        </w:rPr>
        <w:t xml:space="preserve">Technical Response Requirements </w:t>
      </w:r>
    </w:p>
    <w:p w14:paraId="3567391C" w14:textId="77777777" w:rsidR="00A653AA" w:rsidRPr="00B022FA" w:rsidRDefault="00A653AA" w:rsidP="00A653AA">
      <w:pPr>
        <w:spacing w:after="0" w:line="240" w:lineRule="auto"/>
        <w:ind w:left="360"/>
        <w:rPr>
          <w:rFonts w:ascii="Arial" w:eastAsia="Calibri" w:hAnsi="Arial" w:cs="Arial"/>
          <w:sz w:val="24"/>
          <w:szCs w:val="24"/>
        </w:rPr>
      </w:pPr>
    </w:p>
    <w:p w14:paraId="5406C282" w14:textId="77777777" w:rsidR="00A653AA" w:rsidRPr="00B022FA" w:rsidRDefault="00A653AA" w:rsidP="00A653AA">
      <w:pPr>
        <w:spacing w:after="0" w:line="240" w:lineRule="auto"/>
        <w:rPr>
          <w:rFonts w:ascii="Arial" w:eastAsia="Calibri" w:hAnsi="Arial" w:cs="Arial"/>
          <w:sz w:val="24"/>
          <w:szCs w:val="24"/>
        </w:rPr>
      </w:pPr>
      <w:r w:rsidRPr="00B022FA">
        <w:rPr>
          <w:rFonts w:ascii="Arial" w:eastAsia="Calibri" w:hAnsi="Arial" w:cs="Arial"/>
          <w:sz w:val="24"/>
          <w:szCs w:val="24"/>
        </w:rPr>
        <w:t>The Vendor’s responses to the categories below must describe how it will fulfill the requirements outlined in the scope of work.  Vendor should ensure that all proposed solutions are consistent with DSAMH policies and procedures, and applicable regulations, standards, procedures, and best practices.</w:t>
      </w:r>
    </w:p>
    <w:p w14:paraId="2260DF2D" w14:textId="77777777" w:rsidR="00A653AA" w:rsidRPr="00B022FA" w:rsidRDefault="00A653AA" w:rsidP="00A653AA">
      <w:pPr>
        <w:spacing w:after="0" w:line="240" w:lineRule="auto"/>
        <w:ind w:left="360"/>
        <w:rPr>
          <w:rFonts w:ascii="Arial" w:eastAsia="Calibri" w:hAnsi="Arial" w:cs="Arial"/>
          <w:sz w:val="24"/>
          <w:szCs w:val="24"/>
        </w:rPr>
      </w:pPr>
    </w:p>
    <w:p w14:paraId="795E950A" w14:textId="77777777" w:rsidR="00A653AA" w:rsidRPr="00B022FA" w:rsidRDefault="00A653AA" w:rsidP="00A653AA">
      <w:pPr>
        <w:numPr>
          <w:ilvl w:val="0"/>
          <w:numId w:val="4"/>
        </w:numPr>
        <w:spacing w:after="0" w:line="240" w:lineRule="auto"/>
        <w:rPr>
          <w:rFonts w:ascii="Arial" w:eastAsia="Calibri" w:hAnsi="Arial" w:cs="Arial"/>
          <w:sz w:val="24"/>
          <w:szCs w:val="24"/>
        </w:rPr>
      </w:pPr>
      <w:r w:rsidRPr="00B022FA">
        <w:rPr>
          <w:rFonts w:ascii="Arial" w:eastAsia="Calibri" w:hAnsi="Arial" w:cs="Arial"/>
          <w:b/>
          <w:bCs/>
          <w:sz w:val="24"/>
          <w:szCs w:val="24"/>
        </w:rPr>
        <w:t>Experience and Expertise (up to 25 points)</w:t>
      </w:r>
    </w:p>
    <w:p w14:paraId="3C889CB7" w14:textId="77777777" w:rsidR="00A653AA" w:rsidRPr="00B022FA" w:rsidRDefault="00A653AA" w:rsidP="00A653AA">
      <w:pPr>
        <w:spacing w:after="0" w:line="240" w:lineRule="auto"/>
        <w:ind w:left="1080"/>
        <w:rPr>
          <w:rFonts w:ascii="Arial" w:eastAsia="Calibri" w:hAnsi="Arial" w:cs="Arial"/>
          <w:sz w:val="24"/>
          <w:szCs w:val="24"/>
        </w:rPr>
      </w:pPr>
    </w:p>
    <w:p w14:paraId="5FF0EA86" w14:textId="08F11B99" w:rsidR="00A653AA" w:rsidRPr="00B022FA" w:rsidRDefault="00A653AA" w:rsidP="00A653AA">
      <w:pPr>
        <w:pStyle w:val="ListParagraph"/>
        <w:numPr>
          <w:ilvl w:val="0"/>
          <w:numId w:val="5"/>
        </w:numPr>
        <w:rPr>
          <w:rFonts w:ascii="Arial" w:hAnsi="Arial" w:cs="Arial"/>
          <w:sz w:val="24"/>
          <w:szCs w:val="24"/>
        </w:rPr>
      </w:pPr>
      <w:r w:rsidRPr="00B022FA">
        <w:rPr>
          <w:rFonts w:ascii="Arial" w:hAnsi="Arial" w:cs="Arial"/>
          <w:sz w:val="24"/>
          <w:szCs w:val="24"/>
        </w:rPr>
        <w:t>Submit the most recent organizational chart and current Board of Directors roster (if applicable).</w:t>
      </w:r>
    </w:p>
    <w:p w14:paraId="386212E9" w14:textId="77777777" w:rsidR="00A653AA" w:rsidRPr="00B022FA" w:rsidRDefault="00A653AA" w:rsidP="00A653AA">
      <w:pPr>
        <w:pStyle w:val="ListParagraph"/>
        <w:numPr>
          <w:ilvl w:val="0"/>
          <w:numId w:val="5"/>
        </w:numPr>
        <w:rPr>
          <w:rFonts w:ascii="Arial" w:hAnsi="Arial" w:cs="Arial"/>
          <w:sz w:val="24"/>
          <w:szCs w:val="24"/>
        </w:rPr>
      </w:pPr>
      <w:r w:rsidRPr="00B022FA">
        <w:rPr>
          <w:rFonts w:ascii="Arial" w:hAnsi="Arial" w:cs="Arial"/>
          <w:sz w:val="24"/>
          <w:szCs w:val="24"/>
        </w:rPr>
        <w:t>Submit proof that Vendor has been operating for at minimum five years.</w:t>
      </w:r>
    </w:p>
    <w:p w14:paraId="257C54A1" w14:textId="77777777" w:rsidR="00A653AA" w:rsidRPr="00B022FA" w:rsidRDefault="00A653AA" w:rsidP="00A653AA">
      <w:pPr>
        <w:pStyle w:val="ListParagraph"/>
        <w:numPr>
          <w:ilvl w:val="0"/>
          <w:numId w:val="5"/>
        </w:numPr>
        <w:rPr>
          <w:rFonts w:ascii="Arial" w:hAnsi="Arial" w:cs="Arial"/>
          <w:sz w:val="24"/>
          <w:szCs w:val="24"/>
        </w:rPr>
      </w:pPr>
      <w:r w:rsidRPr="00B022FA">
        <w:rPr>
          <w:rFonts w:ascii="Arial" w:eastAsia="Times New Roman" w:hAnsi="Arial" w:cs="Arial"/>
          <w:sz w:val="24"/>
          <w:szCs w:val="24"/>
        </w:rPr>
        <w:t xml:space="preserve">Submit current Business License with the State of Delaware.  </w:t>
      </w:r>
    </w:p>
    <w:p w14:paraId="2DC7721E" w14:textId="77777777" w:rsidR="00A653AA" w:rsidRPr="00B022FA" w:rsidRDefault="00A653AA" w:rsidP="00A653AA">
      <w:pPr>
        <w:pStyle w:val="ListParagraph"/>
        <w:numPr>
          <w:ilvl w:val="0"/>
          <w:numId w:val="5"/>
        </w:numPr>
        <w:spacing w:after="0" w:line="256" w:lineRule="auto"/>
        <w:rPr>
          <w:rFonts w:ascii="Arial" w:hAnsi="Arial" w:cs="Arial"/>
          <w:sz w:val="24"/>
          <w:szCs w:val="24"/>
        </w:rPr>
      </w:pPr>
      <w:r w:rsidRPr="00B022FA">
        <w:rPr>
          <w:rFonts w:ascii="Arial" w:eastAsia="Times New Roman" w:hAnsi="Arial" w:cs="Arial"/>
          <w:sz w:val="24"/>
          <w:szCs w:val="24"/>
        </w:rPr>
        <w:t>D</w:t>
      </w:r>
      <w:r w:rsidRPr="00B022FA">
        <w:rPr>
          <w:rFonts w:ascii="Arial" w:hAnsi="Arial" w:cs="Arial"/>
          <w:sz w:val="24"/>
          <w:szCs w:val="24"/>
        </w:rPr>
        <w:t>emonstrate experience providing master lease services (landlord outreach, property acquisition, property management, and tenant coordination) for target population or similar high-need populations.</w:t>
      </w:r>
    </w:p>
    <w:p w14:paraId="5771A344" w14:textId="77777777" w:rsidR="00A653AA" w:rsidRPr="00B022FA" w:rsidRDefault="00A653AA" w:rsidP="00A653AA">
      <w:pPr>
        <w:pStyle w:val="ListParagraph"/>
        <w:numPr>
          <w:ilvl w:val="0"/>
          <w:numId w:val="5"/>
        </w:numPr>
        <w:spacing w:after="0" w:line="256" w:lineRule="auto"/>
        <w:rPr>
          <w:rFonts w:ascii="Arial" w:hAnsi="Arial" w:cs="Arial"/>
          <w:sz w:val="24"/>
          <w:szCs w:val="24"/>
        </w:rPr>
      </w:pPr>
      <w:r w:rsidRPr="00B022FA">
        <w:rPr>
          <w:rFonts w:ascii="Arial" w:hAnsi="Arial" w:cs="Arial"/>
          <w:sz w:val="24"/>
          <w:szCs w:val="24"/>
        </w:rPr>
        <w:t xml:space="preserve">The Vendor must provide the qualifications and credentials of key personnel, along with the nature and extent of their involvement.  Qualifications beyond credentials </w:t>
      </w:r>
      <w:r w:rsidRPr="00B022FA">
        <w:rPr>
          <w:rFonts w:ascii="Arial" w:hAnsi="Arial" w:cs="Arial"/>
          <w:sz w:val="24"/>
          <w:szCs w:val="24"/>
        </w:rPr>
        <w:lastRenderedPageBreak/>
        <w:t>should also demonstrate</w:t>
      </w:r>
      <w:r w:rsidRPr="00B022FA">
        <w:rPr>
          <w:rFonts w:ascii="Arial" w:eastAsia="Calibri" w:hAnsi="Arial" w:cs="Arial"/>
          <w:sz w:val="24"/>
          <w:szCs w:val="24"/>
        </w:rPr>
        <w:t xml:space="preserve"> experience working with the target population.  </w:t>
      </w:r>
      <w:r w:rsidRPr="00B022FA">
        <w:rPr>
          <w:rFonts w:ascii="Arial" w:hAnsi="Arial" w:cs="Arial"/>
          <w:sz w:val="24"/>
          <w:szCs w:val="24"/>
        </w:rPr>
        <w:t xml:space="preserve">The qualifications of these individuals shall be presented (in resumes or other formats).  </w:t>
      </w:r>
    </w:p>
    <w:p w14:paraId="3D9154A6" w14:textId="77777777" w:rsidR="00A653AA" w:rsidRPr="00B022FA" w:rsidRDefault="00A653AA" w:rsidP="00A653AA">
      <w:pPr>
        <w:spacing w:after="0" w:line="256" w:lineRule="auto"/>
        <w:ind w:left="1080"/>
        <w:contextualSpacing/>
        <w:rPr>
          <w:rFonts w:ascii="Arial" w:eastAsia="Calibri" w:hAnsi="Arial" w:cs="Arial"/>
          <w:sz w:val="24"/>
          <w:szCs w:val="24"/>
        </w:rPr>
      </w:pPr>
    </w:p>
    <w:p w14:paraId="0B694232" w14:textId="77777777" w:rsidR="00A653AA" w:rsidRPr="00B022FA" w:rsidRDefault="00A653AA" w:rsidP="00A653AA">
      <w:pPr>
        <w:numPr>
          <w:ilvl w:val="0"/>
          <w:numId w:val="4"/>
        </w:numPr>
        <w:spacing w:after="0" w:line="240" w:lineRule="auto"/>
        <w:rPr>
          <w:rFonts w:ascii="Arial" w:eastAsia="Calibri" w:hAnsi="Arial" w:cs="Arial"/>
          <w:b/>
          <w:bCs/>
          <w:sz w:val="24"/>
          <w:szCs w:val="24"/>
        </w:rPr>
      </w:pPr>
      <w:r w:rsidRPr="00B022FA">
        <w:rPr>
          <w:rFonts w:ascii="Arial" w:eastAsia="Calibri" w:hAnsi="Arial" w:cs="Arial"/>
          <w:b/>
          <w:bCs/>
          <w:sz w:val="24"/>
          <w:szCs w:val="24"/>
        </w:rPr>
        <w:t>Capacity to Meet Requirements (up to 25 points)</w:t>
      </w:r>
    </w:p>
    <w:p w14:paraId="601D1C21" w14:textId="77777777" w:rsidR="00A653AA" w:rsidRPr="00B022FA" w:rsidRDefault="00A653AA" w:rsidP="00A653AA">
      <w:pPr>
        <w:numPr>
          <w:ilvl w:val="0"/>
          <w:numId w:val="6"/>
        </w:numPr>
        <w:spacing w:after="0" w:line="256" w:lineRule="auto"/>
        <w:contextualSpacing/>
        <w:rPr>
          <w:rFonts w:ascii="Arial" w:eastAsia="Calibri" w:hAnsi="Arial" w:cs="Arial"/>
          <w:sz w:val="24"/>
          <w:szCs w:val="24"/>
        </w:rPr>
      </w:pPr>
      <w:r w:rsidRPr="00B022FA">
        <w:rPr>
          <w:rFonts w:ascii="Arial" w:eastAsia="Calibri" w:hAnsi="Arial" w:cs="Arial"/>
          <w:sz w:val="24"/>
          <w:szCs w:val="24"/>
        </w:rPr>
        <w:t>Submit staffing plan to support timely and consistent delivery of services.</w:t>
      </w:r>
    </w:p>
    <w:p w14:paraId="57CCFF05" w14:textId="77777777" w:rsidR="00A653AA" w:rsidRPr="00B022FA" w:rsidRDefault="00A653AA" w:rsidP="00A653AA">
      <w:pPr>
        <w:numPr>
          <w:ilvl w:val="1"/>
          <w:numId w:val="6"/>
        </w:numPr>
        <w:spacing w:after="0" w:line="256" w:lineRule="auto"/>
        <w:contextualSpacing/>
        <w:rPr>
          <w:rFonts w:ascii="Arial" w:eastAsia="Calibri" w:hAnsi="Arial" w:cs="Arial"/>
          <w:sz w:val="24"/>
          <w:szCs w:val="24"/>
        </w:rPr>
      </w:pPr>
      <w:r w:rsidRPr="00B022FA">
        <w:rPr>
          <w:rFonts w:ascii="Arial" w:eastAsia="Calibri" w:hAnsi="Arial" w:cs="Arial"/>
          <w:sz w:val="24"/>
          <w:szCs w:val="24"/>
        </w:rPr>
        <w:t>If conducting this project will require hiring/recruiting of one or more individuals who are not currently employed or enrolled by the organization, detailed position descriptions, including required qualifications and experience shall be submitted.</w:t>
      </w:r>
    </w:p>
    <w:p w14:paraId="6E604545" w14:textId="77777777" w:rsidR="00A653AA" w:rsidRPr="00B022FA" w:rsidRDefault="00A653AA" w:rsidP="00A653AA">
      <w:pPr>
        <w:numPr>
          <w:ilvl w:val="1"/>
          <w:numId w:val="6"/>
        </w:numPr>
        <w:spacing w:after="0" w:line="256" w:lineRule="auto"/>
        <w:contextualSpacing/>
        <w:rPr>
          <w:rFonts w:ascii="Arial" w:eastAsia="Calibri" w:hAnsi="Arial" w:cs="Arial"/>
          <w:sz w:val="24"/>
          <w:szCs w:val="24"/>
        </w:rPr>
      </w:pPr>
      <w:r w:rsidRPr="00B022FA">
        <w:rPr>
          <w:rFonts w:ascii="Arial" w:eastAsia="Calibri" w:hAnsi="Arial" w:cs="Arial"/>
          <w:sz w:val="24"/>
          <w:szCs w:val="24"/>
        </w:rPr>
        <w:t>Describe how the Vendor will manage the training and supervision of staff. Training needs to include essential elements for staff development for the target population (such as trauma-informed care, housing rights, and crisis response).</w:t>
      </w:r>
    </w:p>
    <w:p w14:paraId="7E4E5BD4" w14:textId="77777777" w:rsidR="00A653AA" w:rsidRPr="00B022FA" w:rsidRDefault="00A653AA" w:rsidP="00A653AA">
      <w:pPr>
        <w:numPr>
          <w:ilvl w:val="1"/>
          <w:numId w:val="6"/>
        </w:numPr>
        <w:spacing w:after="0" w:line="256" w:lineRule="auto"/>
        <w:contextualSpacing/>
        <w:rPr>
          <w:rFonts w:ascii="Arial" w:eastAsia="Calibri" w:hAnsi="Arial" w:cs="Arial"/>
          <w:sz w:val="24"/>
          <w:szCs w:val="24"/>
        </w:rPr>
      </w:pPr>
      <w:r w:rsidRPr="00B022FA">
        <w:rPr>
          <w:rFonts w:ascii="Arial" w:eastAsia="Calibri" w:hAnsi="Arial" w:cs="Arial"/>
          <w:sz w:val="24"/>
          <w:szCs w:val="24"/>
        </w:rPr>
        <w:t>Identify the administrative capacity to manage statewide housing operations.</w:t>
      </w:r>
    </w:p>
    <w:p w14:paraId="1F25C649" w14:textId="77777777" w:rsidR="00A653AA" w:rsidRPr="00B022FA" w:rsidRDefault="00A653AA" w:rsidP="00A653AA">
      <w:pPr>
        <w:numPr>
          <w:ilvl w:val="0"/>
          <w:numId w:val="6"/>
        </w:numPr>
        <w:spacing w:after="0" w:line="256" w:lineRule="auto"/>
        <w:contextualSpacing/>
        <w:rPr>
          <w:rFonts w:ascii="Arial" w:eastAsia="Calibri" w:hAnsi="Arial" w:cs="Arial"/>
          <w:sz w:val="24"/>
          <w:szCs w:val="24"/>
        </w:rPr>
      </w:pPr>
      <w:r w:rsidRPr="00B022FA">
        <w:rPr>
          <w:rFonts w:ascii="Arial" w:eastAsia="Calibri" w:hAnsi="Arial" w:cs="Arial"/>
          <w:sz w:val="24"/>
          <w:szCs w:val="24"/>
        </w:rPr>
        <w:t>Describe organizational strengths and challenges that will affect the ability of the organization to implement master lease services within the specified timeframes.</w:t>
      </w:r>
    </w:p>
    <w:p w14:paraId="07349226" w14:textId="77777777" w:rsidR="00A653AA" w:rsidRPr="00B022FA" w:rsidRDefault="00A653AA" w:rsidP="00A653AA">
      <w:pPr>
        <w:numPr>
          <w:ilvl w:val="0"/>
          <w:numId w:val="6"/>
        </w:numPr>
        <w:spacing w:after="0" w:line="256" w:lineRule="auto"/>
        <w:contextualSpacing/>
        <w:rPr>
          <w:rFonts w:ascii="Arial" w:eastAsia="Calibri" w:hAnsi="Arial" w:cs="Arial"/>
          <w:sz w:val="24"/>
          <w:szCs w:val="24"/>
        </w:rPr>
      </w:pPr>
      <w:r w:rsidRPr="00B022FA">
        <w:rPr>
          <w:rFonts w:ascii="Arial" w:eastAsia="Calibri" w:hAnsi="Arial" w:cs="Arial"/>
          <w:sz w:val="24"/>
          <w:szCs w:val="24"/>
        </w:rPr>
        <w:t>Identify the system in place for documentation, data collection, and reporting.</w:t>
      </w:r>
    </w:p>
    <w:p w14:paraId="06D7750E" w14:textId="77777777" w:rsidR="00A653AA" w:rsidRPr="00B022FA" w:rsidRDefault="00A653AA" w:rsidP="00A653AA">
      <w:pPr>
        <w:spacing w:after="0" w:line="256" w:lineRule="auto"/>
        <w:ind w:left="990"/>
        <w:contextualSpacing/>
        <w:rPr>
          <w:rFonts w:ascii="Arial" w:eastAsia="Calibri" w:hAnsi="Arial" w:cs="Arial"/>
          <w:sz w:val="24"/>
          <w:szCs w:val="24"/>
        </w:rPr>
      </w:pPr>
    </w:p>
    <w:p w14:paraId="12B244E0" w14:textId="77777777" w:rsidR="00A653AA" w:rsidRPr="00B022FA" w:rsidRDefault="00A653AA" w:rsidP="00A653AA">
      <w:pPr>
        <w:pStyle w:val="ListParagraph"/>
        <w:numPr>
          <w:ilvl w:val="0"/>
          <w:numId w:val="4"/>
        </w:numPr>
        <w:autoSpaceDE w:val="0"/>
        <w:autoSpaceDN w:val="0"/>
        <w:adjustRightInd w:val="0"/>
        <w:spacing w:after="0" w:line="240" w:lineRule="auto"/>
        <w:rPr>
          <w:rFonts w:ascii="Arial" w:eastAsia="Calibri" w:hAnsi="Arial" w:cs="Arial"/>
          <w:b/>
          <w:bCs/>
          <w:sz w:val="24"/>
          <w:szCs w:val="24"/>
        </w:rPr>
      </w:pPr>
      <w:r w:rsidRPr="00B022FA">
        <w:rPr>
          <w:rFonts w:ascii="Arial" w:eastAsia="Calibri" w:hAnsi="Arial" w:cs="Arial"/>
          <w:b/>
          <w:bCs/>
          <w:sz w:val="24"/>
          <w:szCs w:val="24"/>
        </w:rPr>
        <w:t>Program Design and Implementation (up to 30 points)</w:t>
      </w:r>
    </w:p>
    <w:p w14:paraId="5C08EDFC" w14:textId="77777777" w:rsidR="00A653AA" w:rsidRPr="00B022FA" w:rsidRDefault="00A653AA" w:rsidP="00A653AA">
      <w:pPr>
        <w:numPr>
          <w:ilvl w:val="0"/>
          <w:numId w:val="7"/>
        </w:numPr>
        <w:spacing w:after="0" w:line="256" w:lineRule="auto"/>
        <w:contextualSpacing/>
        <w:rPr>
          <w:rFonts w:ascii="Arial" w:eastAsia="Calibri" w:hAnsi="Arial" w:cs="Arial"/>
          <w:sz w:val="24"/>
          <w:szCs w:val="24"/>
        </w:rPr>
      </w:pPr>
      <w:r w:rsidRPr="00B022FA">
        <w:rPr>
          <w:rFonts w:ascii="Arial" w:eastAsia="Calibri" w:hAnsi="Arial" w:cs="Arial"/>
          <w:sz w:val="24"/>
          <w:szCs w:val="24"/>
        </w:rPr>
        <w:t>Programming</w:t>
      </w:r>
    </w:p>
    <w:p w14:paraId="5D9EC79E" w14:textId="77777777" w:rsidR="00A653AA" w:rsidRPr="00B022FA" w:rsidRDefault="00A653AA" w:rsidP="00A653AA">
      <w:pPr>
        <w:numPr>
          <w:ilvl w:val="0"/>
          <w:numId w:val="8"/>
        </w:numPr>
        <w:spacing w:after="0" w:line="256" w:lineRule="auto"/>
        <w:contextualSpacing/>
        <w:rPr>
          <w:rFonts w:ascii="Arial" w:eastAsia="Calibri" w:hAnsi="Arial" w:cs="Arial"/>
          <w:sz w:val="24"/>
          <w:szCs w:val="24"/>
        </w:rPr>
      </w:pPr>
      <w:r w:rsidRPr="00B022FA">
        <w:rPr>
          <w:rFonts w:ascii="Arial" w:eastAsia="Calibri" w:hAnsi="Arial" w:cs="Arial"/>
          <w:sz w:val="24"/>
          <w:szCs w:val="24"/>
        </w:rPr>
        <w:t xml:space="preserve">Describe how the Vendor aims to conduct the services described in this SOW and how it will meet the needs of the target population. </w:t>
      </w:r>
      <w:bookmarkStart w:id="13" w:name="_Hlk213789960"/>
      <w:r w:rsidRPr="00B022FA">
        <w:rPr>
          <w:rFonts w:ascii="Arial" w:eastAsia="Calibri" w:hAnsi="Arial" w:cs="Arial"/>
          <w:sz w:val="24"/>
          <w:szCs w:val="24"/>
        </w:rPr>
        <w:t>Vendors shall upload any Standard Operational Procedures, or other formal documents should they exist specifically for this service.  Selected vendor shall provide these policies annually as part of the Division’s contract monitoring process.</w:t>
      </w:r>
      <w:bookmarkEnd w:id="13"/>
      <w:r w:rsidRPr="00B022FA">
        <w:rPr>
          <w:rFonts w:ascii="Arial" w:eastAsia="Calibri" w:hAnsi="Arial" w:cs="Arial"/>
          <w:sz w:val="24"/>
          <w:szCs w:val="24"/>
        </w:rPr>
        <w:t xml:space="preserve">  In addition:</w:t>
      </w:r>
    </w:p>
    <w:p w14:paraId="2F5CE7E5" w14:textId="77777777" w:rsidR="00A653AA" w:rsidRPr="00B022FA" w:rsidRDefault="00A653AA" w:rsidP="00A653AA">
      <w:pPr>
        <w:pStyle w:val="ListParagraph"/>
        <w:numPr>
          <w:ilvl w:val="1"/>
          <w:numId w:val="8"/>
        </w:numPr>
        <w:spacing w:after="0" w:line="256" w:lineRule="auto"/>
        <w:rPr>
          <w:rFonts w:ascii="Arial" w:eastAsia="Calibri" w:hAnsi="Arial" w:cs="Arial"/>
          <w:sz w:val="24"/>
          <w:szCs w:val="24"/>
        </w:rPr>
      </w:pPr>
      <w:r w:rsidRPr="00B022FA">
        <w:rPr>
          <w:rFonts w:ascii="Arial" w:eastAsia="Calibri" w:hAnsi="Arial" w:cs="Arial"/>
          <w:sz w:val="24"/>
          <w:szCs w:val="24"/>
        </w:rPr>
        <w:t xml:space="preserve">Vendor should describe/outline how the primary service functions will be facilitated (consider process changes between SAP, SHP, and TCM).  This should include housing acquisition and leasing (such as landlord recruitment and education; securing master lease agreements); property management and maintenance (such as risk mitigation and support; relationship management; unit preparation; rent collection and liability; maintenance requests processes); and tenant and supportive services coordination (such as subtenant selection to include client determination of financial responsibility which is typically 28% of client income; tenant on-boarding and movement processes; and tenancy support and advocacy). </w:t>
      </w:r>
      <w:r w:rsidRPr="003671EA">
        <w:rPr>
          <w:rFonts w:ascii="Arial" w:eastAsia="Calibri" w:hAnsi="Arial" w:cs="Arial"/>
          <w:sz w:val="24"/>
          <w:szCs w:val="24"/>
        </w:rPr>
        <w:t xml:space="preserve">Provide </w:t>
      </w:r>
      <w:r w:rsidRPr="00B022FA">
        <w:rPr>
          <w:rFonts w:ascii="Arial" w:eastAsia="Calibri" w:hAnsi="Arial" w:cs="Arial"/>
          <w:sz w:val="24"/>
          <w:szCs w:val="24"/>
        </w:rPr>
        <w:t>any strategies</w:t>
      </w:r>
      <w:r w:rsidRPr="003671EA">
        <w:rPr>
          <w:rFonts w:ascii="Arial" w:eastAsia="Calibri" w:hAnsi="Arial" w:cs="Arial"/>
          <w:sz w:val="24"/>
          <w:szCs w:val="24"/>
        </w:rPr>
        <w:t xml:space="preserve"> for client/tenant placement, orientation, and housing stabilization (consider needs of target population and reasonable accommodations employed). </w:t>
      </w:r>
    </w:p>
    <w:p w14:paraId="1A38FA76" w14:textId="77777777" w:rsidR="00A653AA" w:rsidRPr="00B022FA" w:rsidRDefault="00A653AA" w:rsidP="00A653AA">
      <w:pPr>
        <w:numPr>
          <w:ilvl w:val="1"/>
          <w:numId w:val="8"/>
        </w:numPr>
        <w:spacing w:after="0" w:line="256" w:lineRule="auto"/>
        <w:contextualSpacing/>
        <w:rPr>
          <w:rFonts w:ascii="Arial" w:eastAsia="Calibri" w:hAnsi="Arial" w:cs="Arial"/>
          <w:sz w:val="24"/>
          <w:szCs w:val="24"/>
        </w:rPr>
      </w:pPr>
      <w:r w:rsidRPr="00B022FA">
        <w:rPr>
          <w:rFonts w:ascii="Arial" w:eastAsia="Calibri" w:hAnsi="Arial" w:cs="Arial"/>
          <w:sz w:val="24"/>
          <w:szCs w:val="24"/>
        </w:rPr>
        <w:t>Provide processes in place to conduct housing quality inspections.  Vendor shall detail standards used to ensure units are adequate and free of health and safety hazards.</w:t>
      </w:r>
      <w:r w:rsidRPr="00B022FA">
        <w:rPr>
          <w:rFonts w:ascii="Arial" w:hAnsi="Arial" w:cs="Arial"/>
          <w:sz w:val="24"/>
          <w:szCs w:val="24"/>
        </w:rPr>
        <w:t xml:space="preserve"> </w:t>
      </w:r>
      <w:r w:rsidRPr="00B022FA">
        <w:rPr>
          <w:rFonts w:ascii="Arial" w:eastAsia="Calibri" w:hAnsi="Arial" w:cs="Arial"/>
          <w:sz w:val="24"/>
          <w:szCs w:val="24"/>
        </w:rPr>
        <w:t>Vendors shall upload any Standard Operational Procedures, or other formal documents should they exist specifically for this service (such as forms and/or technology used).  Selected vendor shall provide these policies annually as part of the Division’s contract monitoring process.</w:t>
      </w:r>
    </w:p>
    <w:p w14:paraId="16ED322C" w14:textId="4A46728B" w:rsidR="00A653AA" w:rsidRPr="00B022FA" w:rsidRDefault="00A653AA" w:rsidP="00A653AA">
      <w:pPr>
        <w:pStyle w:val="ListParagraph"/>
        <w:numPr>
          <w:ilvl w:val="1"/>
          <w:numId w:val="8"/>
        </w:numPr>
        <w:spacing w:after="0"/>
        <w:rPr>
          <w:rFonts w:ascii="Arial" w:eastAsia="Calibri" w:hAnsi="Arial" w:cs="Arial"/>
          <w:sz w:val="24"/>
          <w:szCs w:val="24"/>
        </w:rPr>
      </w:pPr>
      <w:r w:rsidRPr="00B022FA">
        <w:rPr>
          <w:rFonts w:ascii="Arial" w:eastAsia="Calibri" w:hAnsi="Arial" w:cs="Arial"/>
          <w:sz w:val="24"/>
          <w:szCs w:val="24"/>
        </w:rPr>
        <w:lastRenderedPageBreak/>
        <w:t>Financial administration and rent determination-Vendor shall provide method for determining fair market rent (FMR).  Vendor shall ensure rent reasonableness. Vendors shall upload any Standard Operational Procedures, or other formal documents should they exist related to verification that rent charged for a specific unit is reasonable compared to rents for similar, unassisted units in the same area.  Selected vendor shall provide these policies annually as part of the Division’s contract monitoring process.</w:t>
      </w:r>
    </w:p>
    <w:p w14:paraId="24AA8965" w14:textId="77777777" w:rsidR="00A653AA" w:rsidRPr="00B022FA" w:rsidRDefault="00A653AA" w:rsidP="00A653AA">
      <w:pPr>
        <w:numPr>
          <w:ilvl w:val="0"/>
          <w:numId w:val="8"/>
        </w:numPr>
        <w:spacing w:after="0" w:line="256" w:lineRule="auto"/>
        <w:contextualSpacing/>
        <w:rPr>
          <w:rFonts w:ascii="Arial" w:eastAsia="Calibri" w:hAnsi="Arial" w:cs="Arial"/>
          <w:sz w:val="24"/>
          <w:szCs w:val="24"/>
        </w:rPr>
      </w:pPr>
      <w:r w:rsidRPr="00B022FA">
        <w:rPr>
          <w:rFonts w:ascii="Arial" w:eastAsia="Calibri" w:hAnsi="Arial" w:cs="Arial"/>
          <w:sz w:val="24"/>
          <w:szCs w:val="24"/>
        </w:rPr>
        <w:t>Describe how Vendor intends to comply to policies and procedures identified in this scope of work. Vendor shall upload any policies in place that support the agreeance of identified policies, processes, and regulations identified this scope of work.  Selected vendor shall provide these policies annually as part of the Division’s contract monitoring process.</w:t>
      </w:r>
    </w:p>
    <w:p w14:paraId="3D659F24" w14:textId="77777777" w:rsidR="00A653AA" w:rsidRPr="00B022FA" w:rsidRDefault="00A653AA" w:rsidP="00A653AA">
      <w:pPr>
        <w:numPr>
          <w:ilvl w:val="0"/>
          <w:numId w:val="8"/>
        </w:numPr>
        <w:spacing w:after="0" w:line="256" w:lineRule="auto"/>
        <w:contextualSpacing/>
        <w:rPr>
          <w:rFonts w:ascii="Arial" w:eastAsia="Calibri" w:hAnsi="Arial" w:cs="Arial"/>
          <w:sz w:val="24"/>
          <w:szCs w:val="24"/>
        </w:rPr>
      </w:pPr>
      <w:r w:rsidRPr="00B022FA">
        <w:rPr>
          <w:rFonts w:ascii="Arial" w:eastAsia="Calibri" w:hAnsi="Arial" w:cs="Arial"/>
          <w:sz w:val="24"/>
          <w:szCs w:val="24"/>
        </w:rPr>
        <w:t>The Vendor shall attach a</w:t>
      </w:r>
      <w:r w:rsidRPr="00B022FA">
        <w:rPr>
          <w:rFonts w:ascii="Arial" w:eastAsia="Times New Roman" w:hAnsi="Arial" w:cs="Arial"/>
          <w:sz w:val="24"/>
          <w:szCs w:val="24"/>
        </w:rPr>
        <w:t xml:space="preserve"> </w:t>
      </w:r>
      <w:r w:rsidRPr="00B022FA">
        <w:rPr>
          <w:rFonts w:ascii="Arial" w:eastAsia="Calibri" w:hAnsi="Arial" w:cs="Arial"/>
          <w:sz w:val="24"/>
          <w:szCs w:val="24"/>
        </w:rPr>
        <w:t>Continuity of Operations (COOP) Plan.  COOP Plans are intended to guide the Vendor as whole in the continued provisions of essential operations and the re-establishment of critical business functions during and after a disaster occurs. Vendor shall submit COOP Plans annually as part of the Division’s contract monitoring process.</w:t>
      </w:r>
    </w:p>
    <w:p w14:paraId="7E96EB6F" w14:textId="77777777" w:rsidR="00A653AA" w:rsidRPr="00B022FA" w:rsidRDefault="00A653AA" w:rsidP="00A653AA">
      <w:pPr>
        <w:spacing w:after="0" w:line="256" w:lineRule="auto"/>
        <w:ind w:left="1800"/>
        <w:contextualSpacing/>
        <w:rPr>
          <w:rFonts w:ascii="Arial" w:eastAsia="Calibri" w:hAnsi="Arial" w:cs="Arial"/>
          <w:sz w:val="24"/>
          <w:szCs w:val="24"/>
        </w:rPr>
      </w:pPr>
    </w:p>
    <w:p w14:paraId="7ED30CD6" w14:textId="77777777" w:rsidR="00A653AA" w:rsidRPr="00B022FA" w:rsidRDefault="00A653AA" w:rsidP="00A653AA">
      <w:pPr>
        <w:pStyle w:val="ListParagraph"/>
        <w:numPr>
          <w:ilvl w:val="0"/>
          <w:numId w:val="7"/>
        </w:numPr>
        <w:spacing w:after="0" w:line="240" w:lineRule="auto"/>
        <w:rPr>
          <w:rFonts w:ascii="Arial" w:eastAsia="Calibri" w:hAnsi="Arial" w:cs="Arial"/>
          <w:bCs/>
          <w:sz w:val="24"/>
          <w:szCs w:val="24"/>
        </w:rPr>
      </w:pPr>
      <w:bookmarkStart w:id="14" w:name="_Hlk148385982"/>
      <w:r w:rsidRPr="00B022FA">
        <w:rPr>
          <w:rFonts w:ascii="Arial" w:eastAsia="Calibri" w:hAnsi="Arial" w:cs="Arial"/>
          <w:bCs/>
          <w:sz w:val="24"/>
          <w:szCs w:val="24"/>
        </w:rPr>
        <w:t xml:space="preserve">Quality </w:t>
      </w:r>
      <w:bookmarkEnd w:id="14"/>
      <w:r w:rsidRPr="00B022FA">
        <w:rPr>
          <w:rFonts w:ascii="Arial" w:eastAsia="Calibri" w:hAnsi="Arial" w:cs="Arial"/>
          <w:bCs/>
          <w:sz w:val="24"/>
          <w:szCs w:val="24"/>
        </w:rPr>
        <w:t xml:space="preserve">Assurance and Key Outcome Indicators </w:t>
      </w:r>
    </w:p>
    <w:p w14:paraId="01A07657" w14:textId="77777777" w:rsidR="00A653AA" w:rsidRPr="00B022FA" w:rsidRDefault="00A653AA" w:rsidP="00A653AA">
      <w:pPr>
        <w:pStyle w:val="ListParagraph"/>
        <w:numPr>
          <w:ilvl w:val="1"/>
          <w:numId w:val="7"/>
        </w:numPr>
        <w:rPr>
          <w:rFonts w:ascii="Arial" w:eastAsia="Calibri" w:hAnsi="Arial" w:cs="Arial"/>
          <w:bCs/>
          <w:sz w:val="24"/>
          <w:szCs w:val="24"/>
        </w:rPr>
      </w:pPr>
      <w:r w:rsidRPr="00B022FA">
        <w:rPr>
          <w:rFonts w:ascii="Arial" w:eastAsia="Calibri" w:hAnsi="Arial" w:cs="Arial"/>
          <w:bCs/>
          <w:sz w:val="24"/>
          <w:szCs w:val="24"/>
        </w:rPr>
        <w:t>The Vendor shall submit a quality assurance plan for identifying, evaluating, and correcting deficiencies in the quality and quantity of services proposed under this scope of work.  This plan should include a description of how the fidelity of the service will be sustained (i.e. methodology, reporting mechanisms used, etc.).  This plan shall include performance targets and how these will be evaluated, tracked, and reported.  Additionally, this plan shall include how client/tenant satisfaction and stakeholder satisfaction will be assessed. The selected Vendor shall submit an updated quality assurance plan annually as part of the Division’s contract monitoring process.</w:t>
      </w:r>
    </w:p>
    <w:p w14:paraId="03E8A02E" w14:textId="77777777" w:rsidR="00A653AA" w:rsidRPr="00B022FA" w:rsidRDefault="00A653AA" w:rsidP="00A653AA">
      <w:pPr>
        <w:pStyle w:val="ListParagraph"/>
        <w:numPr>
          <w:ilvl w:val="1"/>
          <w:numId w:val="7"/>
        </w:numPr>
        <w:autoSpaceDE w:val="0"/>
        <w:autoSpaceDN w:val="0"/>
        <w:adjustRightInd w:val="0"/>
        <w:spacing w:after="0" w:line="240" w:lineRule="auto"/>
        <w:rPr>
          <w:rFonts w:ascii="Arial" w:eastAsia="Calibri" w:hAnsi="Arial" w:cs="Arial"/>
          <w:bCs/>
          <w:sz w:val="24"/>
          <w:szCs w:val="24"/>
        </w:rPr>
      </w:pPr>
      <w:r w:rsidRPr="00B022FA">
        <w:rPr>
          <w:rFonts w:ascii="Arial" w:eastAsia="Calibri" w:hAnsi="Arial" w:cs="Arial"/>
          <w:sz w:val="24"/>
          <w:szCs w:val="24"/>
        </w:rPr>
        <w:t xml:space="preserve">Describe how the requested metrics outlined in this scope of work will be collected. </w:t>
      </w:r>
    </w:p>
    <w:p w14:paraId="0E55BD83" w14:textId="77777777" w:rsidR="00A653AA" w:rsidRPr="00B022FA" w:rsidRDefault="00A653AA" w:rsidP="00A653AA">
      <w:pPr>
        <w:spacing w:after="0" w:line="256" w:lineRule="auto"/>
        <w:ind w:left="1800"/>
        <w:contextualSpacing/>
        <w:rPr>
          <w:rFonts w:ascii="Arial" w:eastAsia="Calibri" w:hAnsi="Arial" w:cs="Arial"/>
          <w:sz w:val="24"/>
          <w:szCs w:val="24"/>
          <w:highlight w:val="yellow"/>
        </w:rPr>
      </w:pPr>
    </w:p>
    <w:p w14:paraId="0A53FD6D" w14:textId="77777777" w:rsidR="00A653AA" w:rsidRPr="00B022FA" w:rsidRDefault="00A653AA" w:rsidP="00A653AA">
      <w:pPr>
        <w:pStyle w:val="ListParagraph"/>
        <w:numPr>
          <w:ilvl w:val="0"/>
          <w:numId w:val="7"/>
        </w:numPr>
        <w:spacing w:after="0" w:line="256" w:lineRule="auto"/>
        <w:rPr>
          <w:rFonts w:ascii="Arial" w:eastAsia="Calibri" w:hAnsi="Arial" w:cs="Arial"/>
          <w:sz w:val="24"/>
          <w:szCs w:val="24"/>
        </w:rPr>
      </w:pPr>
      <w:r w:rsidRPr="00B022FA">
        <w:rPr>
          <w:rFonts w:ascii="Arial" w:eastAsia="Calibri" w:hAnsi="Arial" w:cs="Arial"/>
          <w:sz w:val="24"/>
          <w:szCs w:val="24"/>
        </w:rPr>
        <w:t xml:space="preserve">Proposed Work Plan Submission </w:t>
      </w:r>
    </w:p>
    <w:p w14:paraId="532E06F5" w14:textId="77777777" w:rsidR="00A653AA" w:rsidRPr="00B022FA" w:rsidRDefault="00A653AA" w:rsidP="00A653AA">
      <w:pPr>
        <w:spacing w:after="0" w:line="256" w:lineRule="auto"/>
        <w:ind w:left="990"/>
        <w:rPr>
          <w:rFonts w:ascii="Arial" w:eastAsia="Calibri" w:hAnsi="Arial" w:cs="Arial"/>
          <w:sz w:val="24"/>
          <w:szCs w:val="24"/>
        </w:rPr>
      </w:pPr>
      <w:r w:rsidRPr="00B022FA">
        <w:rPr>
          <w:rFonts w:ascii="Arial" w:eastAsia="Calibri" w:hAnsi="Arial" w:cs="Arial"/>
          <w:sz w:val="24"/>
          <w:szCs w:val="24"/>
        </w:rPr>
        <w:t>The Vendor shall complete and submit Workplan in template provided as an Appendix D of this RFP.  Upon Award of this RFP, workplan will be incorporated as an Appendix to the executed contract. The Work Plan includes:</w:t>
      </w:r>
    </w:p>
    <w:p w14:paraId="27CDD887" w14:textId="77777777" w:rsidR="00A653AA" w:rsidRPr="00B022FA" w:rsidRDefault="00A653AA" w:rsidP="00A653AA">
      <w:pPr>
        <w:pStyle w:val="ListParagraph"/>
        <w:numPr>
          <w:ilvl w:val="0"/>
          <w:numId w:val="9"/>
        </w:numPr>
        <w:rPr>
          <w:rFonts w:ascii="Arial" w:eastAsia="Calibri" w:hAnsi="Arial" w:cs="Arial"/>
          <w:sz w:val="24"/>
          <w:szCs w:val="24"/>
        </w:rPr>
      </w:pPr>
      <w:bookmarkStart w:id="15" w:name="_Hlk214033614"/>
      <w:r w:rsidRPr="00B022FA">
        <w:rPr>
          <w:rFonts w:ascii="Arial" w:eastAsia="Calibri" w:hAnsi="Arial" w:cs="Arial"/>
          <w:sz w:val="24"/>
          <w:szCs w:val="24"/>
        </w:rPr>
        <w:t>Areas of agreeance to service functions and requirements outlined in this Scope of Work.</w:t>
      </w:r>
    </w:p>
    <w:bookmarkEnd w:id="15"/>
    <w:p w14:paraId="1EF871D6" w14:textId="77777777" w:rsidR="00A653AA" w:rsidRDefault="00A653AA" w:rsidP="00A653AA">
      <w:pPr>
        <w:pStyle w:val="ListParagraph"/>
        <w:numPr>
          <w:ilvl w:val="0"/>
          <w:numId w:val="9"/>
        </w:numPr>
        <w:rPr>
          <w:rFonts w:ascii="Arial" w:eastAsia="Calibri" w:hAnsi="Arial" w:cs="Arial"/>
          <w:sz w:val="24"/>
          <w:szCs w:val="24"/>
        </w:rPr>
      </w:pPr>
      <w:r w:rsidRPr="002045C1">
        <w:rPr>
          <w:rFonts w:ascii="Arial" w:eastAsia="Calibri" w:hAnsi="Arial" w:cs="Arial"/>
          <w:sz w:val="24"/>
          <w:szCs w:val="24"/>
        </w:rPr>
        <w:t xml:space="preserve">The Vendor shall provide all information requested in the workplan regarding their organization and the proposed site locations. If site locations are not yet established, the workplan includes designated areas where the Vendor may provide additional context describing their plan to identify site locations and any transition planning that will be required.  For Transitional Case Management, it is </w:t>
      </w:r>
      <w:r w:rsidRPr="002045C1">
        <w:rPr>
          <w:rFonts w:ascii="Arial" w:eastAsia="Calibri" w:hAnsi="Arial" w:cs="Arial"/>
          <w:sz w:val="24"/>
          <w:szCs w:val="24"/>
        </w:rPr>
        <w:lastRenderedPageBreak/>
        <w:t xml:space="preserve">our preference that all site locations be fully approved and operational for client admission within the </w:t>
      </w:r>
      <w:r>
        <w:rPr>
          <w:rFonts w:ascii="Arial" w:eastAsia="Calibri" w:hAnsi="Arial" w:cs="Arial"/>
          <w:sz w:val="24"/>
          <w:szCs w:val="24"/>
        </w:rPr>
        <w:t xml:space="preserve">three (3) months </w:t>
      </w:r>
      <w:bookmarkStart w:id="16" w:name="_Hlk214889916"/>
      <w:r w:rsidRPr="002045C1">
        <w:rPr>
          <w:rFonts w:ascii="Arial" w:eastAsia="Calibri" w:hAnsi="Arial" w:cs="Arial"/>
          <w:sz w:val="24"/>
          <w:szCs w:val="24"/>
        </w:rPr>
        <w:t xml:space="preserve">following contract execution. </w:t>
      </w:r>
      <w:bookmarkEnd w:id="16"/>
      <w:r w:rsidRPr="002045C1">
        <w:rPr>
          <w:rFonts w:ascii="Arial" w:eastAsia="Calibri" w:hAnsi="Arial" w:cs="Arial"/>
          <w:sz w:val="24"/>
          <w:szCs w:val="24"/>
        </w:rPr>
        <w:t xml:space="preserve"> For SAP/SHP, if transitional planning is necessary, it is our expectation that all transition-related activities be fully resolved within five (5) months following contract execution.</w:t>
      </w:r>
    </w:p>
    <w:p w14:paraId="3C33DA76" w14:textId="77777777" w:rsidR="00A653AA" w:rsidRPr="002045C1" w:rsidRDefault="00A653AA" w:rsidP="00A653AA">
      <w:pPr>
        <w:pStyle w:val="ListParagraph"/>
        <w:numPr>
          <w:ilvl w:val="0"/>
          <w:numId w:val="9"/>
        </w:numPr>
        <w:rPr>
          <w:rFonts w:ascii="Arial" w:eastAsia="Calibri" w:hAnsi="Arial" w:cs="Arial"/>
          <w:sz w:val="24"/>
          <w:szCs w:val="24"/>
        </w:rPr>
      </w:pPr>
      <w:r w:rsidRPr="002045C1">
        <w:rPr>
          <w:rFonts w:ascii="Arial" w:eastAsia="Calibri" w:hAnsi="Arial" w:cs="Arial"/>
          <w:sz w:val="24"/>
          <w:szCs w:val="24"/>
        </w:rPr>
        <w:t>Vendor shall complete an Implementation Plan in chart format with milestones, target dates, and completion dates for each activity.  The plan must cover start up through implementation of activities, including recruitment, hiring and orientation of key staff. Any type of transition needs for operational takeover should be outlined (such as tenant communication, lease and records transfer).</w:t>
      </w:r>
    </w:p>
    <w:p w14:paraId="2C50B1CB" w14:textId="77777777" w:rsidR="00A653AA" w:rsidRPr="00B022FA" w:rsidRDefault="00A653AA" w:rsidP="00A653AA">
      <w:pPr>
        <w:pStyle w:val="ListParagraph"/>
        <w:numPr>
          <w:ilvl w:val="0"/>
          <w:numId w:val="9"/>
        </w:numPr>
        <w:rPr>
          <w:rFonts w:ascii="Arial" w:eastAsia="Calibri" w:hAnsi="Arial" w:cs="Arial"/>
          <w:sz w:val="24"/>
          <w:szCs w:val="24"/>
        </w:rPr>
      </w:pPr>
      <w:r w:rsidRPr="00B022FA">
        <w:rPr>
          <w:rFonts w:ascii="Arial" w:eastAsia="Calibri" w:hAnsi="Arial" w:cs="Arial"/>
          <w:sz w:val="24"/>
          <w:szCs w:val="24"/>
        </w:rPr>
        <w:t>Areas of agreeance to service functions and requirements outlined in this Scope of Work.</w:t>
      </w:r>
    </w:p>
    <w:p w14:paraId="2EC172D1" w14:textId="77777777" w:rsidR="00A653AA" w:rsidRPr="00B022FA" w:rsidRDefault="00A653AA" w:rsidP="00A653AA">
      <w:pPr>
        <w:numPr>
          <w:ilvl w:val="0"/>
          <w:numId w:val="4"/>
        </w:numPr>
        <w:spacing w:after="0" w:line="240" w:lineRule="auto"/>
        <w:jc w:val="both"/>
        <w:rPr>
          <w:rFonts w:ascii="Arial" w:eastAsia="Calibri" w:hAnsi="Arial" w:cs="Arial"/>
          <w:b/>
          <w:sz w:val="24"/>
          <w:szCs w:val="24"/>
        </w:rPr>
      </w:pPr>
      <w:r w:rsidRPr="00B022FA">
        <w:rPr>
          <w:rFonts w:ascii="Arial" w:eastAsia="Calibri" w:hAnsi="Arial" w:cs="Arial"/>
          <w:b/>
          <w:sz w:val="24"/>
          <w:szCs w:val="24"/>
        </w:rPr>
        <w:t>Sustainability and Pricing (up to 20 points)</w:t>
      </w:r>
    </w:p>
    <w:p w14:paraId="4E5E8CFF" w14:textId="77777777" w:rsidR="00A653AA" w:rsidRPr="00B022FA" w:rsidRDefault="00A653AA" w:rsidP="00A653AA">
      <w:pPr>
        <w:spacing w:after="0" w:line="240" w:lineRule="auto"/>
        <w:ind w:firstLine="630"/>
        <w:jc w:val="both"/>
        <w:rPr>
          <w:rFonts w:ascii="Arial" w:eastAsia="Calibri" w:hAnsi="Arial" w:cs="Arial"/>
          <w:bCs/>
          <w:sz w:val="24"/>
          <w:szCs w:val="24"/>
        </w:rPr>
      </w:pPr>
      <w:r w:rsidRPr="00B022FA">
        <w:rPr>
          <w:rFonts w:ascii="Arial" w:eastAsia="Calibri" w:hAnsi="Arial" w:cs="Arial"/>
          <w:bCs/>
          <w:sz w:val="24"/>
          <w:szCs w:val="24"/>
        </w:rPr>
        <w:t>Financial sustainability shall be evaluated by review of the following information:</w:t>
      </w:r>
    </w:p>
    <w:p w14:paraId="1C540102" w14:textId="77777777" w:rsidR="00A653AA" w:rsidRPr="00B022FA" w:rsidRDefault="00A653AA" w:rsidP="00A653AA">
      <w:pPr>
        <w:spacing w:after="0" w:line="240" w:lineRule="auto"/>
        <w:ind w:left="1080"/>
        <w:jc w:val="both"/>
        <w:rPr>
          <w:rFonts w:ascii="Arial" w:eastAsia="Calibri" w:hAnsi="Arial" w:cs="Arial"/>
          <w:bCs/>
          <w:sz w:val="24"/>
          <w:szCs w:val="24"/>
        </w:rPr>
      </w:pPr>
    </w:p>
    <w:p w14:paraId="5DB7728E" w14:textId="77777777" w:rsidR="00A653AA" w:rsidRPr="00B022FA" w:rsidRDefault="00A653AA" w:rsidP="00A653AA">
      <w:pPr>
        <w:pStyle w:val="ListParagraph"/>
        <w:numPr>
          <w:ilvl w:val="0"/>
          <w:numId w:val="11"/>
        </w:numPr>
        <w:spacing w:after="0" w:line="240" w:lineRule="auto"/>
        <w:jc w:val="both"/>
        <w:rPr>
          <w:rFonts w:ascii="Arial" w:eastAsia="Calibri" w:hAnsi="Arial" w:cs="Arial"/>
          <w:bCs/>
          <w:sz w:val="24"/>
          <w:szCs w:val="24"/>
        </w:rPr>
      </w:pPr>
      <w:r w:rsidRPr="00B022FA">
        <w:rPr>
          <w:rFonts w:ascii="Arial" w:eastAsia="Calibri" w:hAnsi="Arial" w:cs="Arial"/>
          <w:bCs/>
          <w:sz w:val="24"/>
          <w:szCs w:val="24"/>
        </w:rPr>
        <w:t>Vendor must provide a copy of the last independent A-133 audit, if it is required to conduct A-133 audit according to the federal requirements). If your A-133 audit resulted in administrative findings or corrective actions, the findings/corrective actions must be included in your submission to us along with your organization’s response to those findings. Vendors that are not subject to an A-133 Audit must submit their most recent Independent Audit/Evaluation.</w:t>
      </w:r>
    </w:p>
    <w:p w14:paraId="61B2A0B4" w14:textId="77777777" w:rsidR="00A653AA" w:rsidRPr="00B022FA" w:rsidRDefault="00A653AA" w:rsidP="00A653AA">
      <w:pPr>
        <w:pStyle w:val="ListParagraph"/>
        <w:numPr>
          <w:ilvl w:val="0"/>
          <w:numId w:val="11"/>
        </w:numPr>
        <w:spacing w:after="0" w:line="240" w:lineRule="auto"/>
        <w:jc w:val="both"/>
        <w:rPr>
          <w:rFonts w:ascii="Arial" w:eastAsia="Calibri" w:hAnsi="Arial" w:cs="Arial"/>
          <w:bCs/>
          <w:sz w:val="24"/>
          <w:szCs w:val="24"/>
        </w:rPr>
      </w:pPr>
      <w:r w:rsidRPr="00B022FA">
        <w:rPr>
          <w:rFonts w:ascii="Arial" w:eastAsia="Calibri" w:hAnsi="Arial" w:cs="Arial"/>
          <w:bCs/>
          <w:sz w:val="24"/>
          <w:szCs w:val="24"/>
        </w:rPr>
        <w:t xml:space="preserve">Discuss any corporate reorganization or restructuring that has occurred within the last three years and discuss how the restructuring will impact the Vendor’s ability to provide services proposed.  </w:t>
      </w:r>
    </w:p>
    <w:p w14:paraId="1CCC018B" w14:textId="77777777" w:rsidR="00A653AA" w:rsidRPr="00B022FA" w:rsidRDefault="00A653AA" w:rsidP="00A653AA">
      <w:pPr>
        <w:pStyle w:val="ListParagraph"/>
        <w:numPr>
          <w:ilvl w:val="0"/>
          <w:numId w:val="11"/>
        </w:numPr>
        <w:spacing w:after="0" w:line="240" w:lineRule="auto"/>
        <w:jc w:val="both"/>
        <w:rPr>
          <w:rFonts w:ascii="Arial" w:eastAsia="Calibri" w:hAnsi="Arial" w:cs="Arial"/>
          <w:bCs/>
          <w:sz w:val="24"/>
          <w:szCs w:val="24"/>
        </w:rPr>
      </w:pPr>
      <w:r w:rsidRPr="00B022FA">
        <w:rPr>
          <w:rFonts w:ascii="Arial" w:eastAsia="Calibri" w:hAnsi="Arial" w:cs="Arial"/>
          <w:bCs/>
          <w:sz w:val="24"/>
          <w:szCs w:val="24"/>
        </w:rPr>
        <w:t xml:space="preserve">The Division of Substance Abuse and Mental Health reserves the right to terminate the contract, based upon merger or acquisition of the Vendor, during the contract.  Vendor must include a description of any current or anticipated business or financial obligations, which will coincide with the term of the awarded RFP contract. </w:t>
      </w:r>
    </w:p>
    <w:p w14:paraId="5963F767" w14:textId="77777777" w:rsidR="00A653AA" w:rsidRPr="00B022FA" w:rsidRDefault="00A653AA" w:rsidP="00A653AA">
      <w:pPr>
        <w:spacing w:after="0" w:line="240" w:lineRule="auto"/>
        <w:ind w:left="1080"/>
        <w:jc w:val="both"/>
        <w:rPr>
          <w:rFonts w:ascii="Arial" w:eastAsia="Calibri" w:hAnsi="Arial" w:cs="Arial"/>
          <w:bCs/>
          <w:sz w:val="24"/>
          <w:szCs w:val="24"/>
        </w:rPr>
      </w:pPr>
    </w:p>
    <w:p w14:paraId="6B171650" w14:textId="77777777" w:rsidR="00A653AA" w:rsidRPr="00B022FA" w:rsidRDefault="00A653AA" w:rsidP="00A653AA">
      <w:pPr>
        <w:spacing w:after="0" w:line="240" w:lineRule="auto"/>
        <w:ind w:left="1080"/>
        <w:jc w:val="both"/>
        <w:rPr>
          <w:rFonts w:ascii="Arial" w:eastAsia="Calibri" w:hAnsi="Arial" w:cs="Arial"/>
          <w:bCs/>
          <w:sz w:val="24"/>
          <w:szCs w:val="24"/>
        </w:rPr>
      </w:pPr>
      <w:r w:rsidRPr="00B022FA">
        <w:rPr>
          <w:rFonts w:ascii="Arial" w:eastAsia="Calibri" w:hAnsi="Arial" w:cs="Arial"/>
          <w:bCs/>
          <w:sz w:val="24"/>
          <w:szCs w:val="24"/>
        </w:rPr>
        <w:t>Pricing shall be scored based on review of the submitted Budget Workbook attached as Appendix C of this RFP.</w:t>
      </w:r>
      <w:r>
        <w:rPr>
          <w:rFonts w:ascii="Arial" w:eastAsia="Times New Roman" w:hAnsi="Arial" w:cs="Arial"/>
          <w:sz w:val="24"/>
          <w:szCs w:val="24"/>
        </w:rPr>
        <w:t xml:space="preserve">  $</w:t>
      </w:r>
      <w:r w:rsidRPr="00FB3AD3">
        <w:rPr>
          <w:rFonts w:ascii="Arial" w:eastAsia="Times New Roman" w:hAnsi="Arial" w:cs="Arial"/>
          <w:sz w:val="24"/>
          <w:szCs w:val="24"/>
        </w:rPr>
        <w:t xml:space="preserve">3,214,000, </w:t>
      </w:r>
      <w:r w:rsidRPr="00FB3AD3">
        <w:rPr>
          <w:rFonts w:ascii="Arial" w:eastAsia="Times New Roman" w:hAnsi="Arial" w:cs="Arial"/>
          <w:bCs/>
          <w:sz w:val="24"/>
          <w:szCs w:val="24"/>
        </w:rPr>
        <w:t>is presently available for the total service execution of this Component.  Annual funding amount determination is contingent on availability of funds and funding source priorities.</w:t>
      </w:r>
    </w:p>
    <w:p w14:paraId="59CD56F4" w14:textId="6054B0D5" w:rsidR="005E2893" w:rsidRPr="00B022FA" w:rsidRDefault="005E2893" w:rsidP="00A653AA">
      <w:pPr>
        <w:spacing w:before="40" w:after="40" w:line="240" w:lineRule="auto"/>
        <w:rPr>
          <w:rFonts w:ascii="Arial" w:eastAsia="Calibri" w:hAnsi="Arial" w:cs="Arial"/>
          <w:bCs/>
          <w:sz w:val="24"/>
          <w:szCs w:val="24"/>
        </w:rPr>
      </w:pPr>
    </w:p>
    <w:sectPr w:rsidR="005E2893" w:rsidRPr="00B022FA" w:rsidSect="00B022FA">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CCABC" w14:textId="77777777" w:rsidR="005C13C2" w:rsidRDefault="005C13C2" w:rsidP="008D58FC">
      <w:pPr>
        <w:spacing w:after="0" w:line="240" w:lineRule="auto"/>
      </w:pPr>
      <w:r>
        <w:separator/>
      </w:r>
    </w:p>
  </w:endnote>
  <w:endnote w:type="continuationSeparator" w:id="0">
    <w:p w14:paraId="0C9656C8" w14:textId="77777777" w:rsidR="005C13C2" w:rsidRDefault="005C13C2" w:rsidP="008D58FC">
      <w:pPr>
        <w:spacing w:after="0" w:line="240" w:lineRule="auto"/>
      </w:pPr>
      <w:r>
        <w:continuationSeparator/>
      </w:r>
    </w:p>
  </w:endnote>
  <w:endnote w:type="continuationNotice" w:id="1">
    <w:p w14:paraId="59F7FCA2" w14:textId="77777777" w:rsidR="005C13C2" w:rsidRDefault="005C13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24D20" w14:textId="77777777" w:rsidR="005C13C2" w:rsidRDefault="005C13C2" w:rsidP="008D58FC">
      <w:pPr>
        <w:spacing w:after="0" w:line="240" w:lineRule="auto"/>
      </w:pPr>
      <w:r>
        <w:separator/>
      </w:r>
    </w:p>
  </w:footnote>
  <w:footnote w:type="continuationSeparator" w:id="0">
    <w:p w14:paraId="434043CB" w14:textId="77777777" w:rsidR="005C13C2" w:rsidRDefault="005C13C2" w:rsidP="008D58FC">
      <w:pPr>
        <w:spacing w:after="0" w:line="240" w:lineRule="auto"/>
      </w:pPr>
      <w:r>
        <w:continuationSeparator/>
      </w:r>
    </w:p>
  </w:footnote>
  <w:footnote w:type="continuationNotice" w:id="1">
    <w:p w14:paraId="2207D809" w14:textId="77777777" w:rsidR="005C13C2" w:rsidRDefault="005C13C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F31A5"/>
    <w:multiLevelType w:val="hybridMultilevel"/>
    <w:tmpl w:val="36F6DA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111035AE"/>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4146605"/>
    <w:multiLevelType w:val="hybridMultilevel"/>
    <w:tmpl w:val="5478E65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2107462D"/>
    <w:multiLevelType w:val="hybridMultilevel"/>
    <w:tmpl w:val="E056F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89162F"/>
    <w:multiLevelType w:val="multilevel"/>
    <w:tmpl w:val="660A1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AC1B1C"/>
    <w:multiLevelType w:val="hybridMultilevel"/>
    <w:tmpl w:val="5E241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6A6AA6"/>
    <w:multiLevelType w:val="hybridMultilevel"/>
    <w:tmpl w:val="D3028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4A4B65"/>
    <w:multiLevelType w:val="hybridMultilevel"/>
    <w:tmpl w:val="DA72C570"/>
    <w:lvl w:ilvl="0" w:tplc="04090019">
      <w:start w:val="1"/>
      <w:numFmt w:val="lowerLetter"/>
      <w:lvlText w:val="%1."/>
      <w:lvlJc w:val="left"/>
      <w:pPr>
        <w:ind w:left="990" w:hanging="360"/>
      </w:pPr>
      <w:rPr>
        <w:rFonts w:hint="default"/>
      </w:rPr>
    </w:lvl>
    <w:lvl w:ilvl="1" w:tplc="04090001">
      <w:start w:val="1"/>
      <w:numFmt w:val="bullet"/>
      <w:lvlText w:val=""/>
      <w:lvlJc w:val="left"/>
      <w:pPr>
        <w:ind w:left="1350" w:hanging="360"/>
      </w:pPr>
      <w:rPr>
        <w:rFonts w:ascii="Symbol" w:hAnsi="Symbol"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8" w15:restartNumberingAfterBreak="0">
    <w:nsid w:val="3EFC043A"/>
    <w:multiLevelType w:val="hybridMultilevel"/>
    <w:tmpl w:val="A834623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3F014212"/>
    <w:multiLevelType w:val="hybridMultilevel"/>
    <w:tmpl w:val="B88EA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81612C"/>
    <w:multiLevelType w:val="hybridMultilevel"/>
    <w:tmpl w:val="BFC8FEC8"/>
    <w:lvl w:ilvl="0" w:tplc="E97A779E">
      <w:start w:val="1"/>
      <w:numFmt w:val="decimal"/>
      <w:lvlText w:val="%1."/>
      <w:lvlJc w:val="left"/>
      <w:pPr>
        <w:ind w:left="630" w:hanging="360"/>
      </w:pPr>
      <w:rPr>
        <w:b/>
        <w:bCs/>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1" w15:restartNumberingAfterBreak="0">
    <w:nsid w:val="4FC21BCB"/>
    <w:multiLevelType w:val="hybridMultilevel"/>
    <w:tmpl w:val="EF74CDD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501F705C"/>
    <w:multiLevelType w:val="hybridMultilevel"/>
    <w:tmpl w:val="B5B4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4467F1"/>
    <w:multiLevelType w:val="hybridMultilevel"/>
    <w:tmpl w:val="B9BCF8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37C0E07"/>
    <w:multiLevelType w:val="hybridMultilevel"/>
    <w:tmpl w:val="C5CA91D8"/>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5" w15:restartNumberingAfterBreak="0">
    <w:nsid w:val="5A6E6F64"/>
    <w:multiLevelType w:val="multilevel"/>
    <w:tmpl w:val="2FB6A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F813DB"/>
    <w:multiLevelType w:val="hybridMultilevel"/>
    <w:tmpl w:val="BA340C18"/>
    <w:lvl w:ilvl="0" w:tplc="04090003">
      <w:start w:val="1"/>
      <w:numFmt w:val="bullet"/>
      <w:lvlText w:val="o"/>
      <w:lvlJc w:val="left"/>
      <w:pPr>
        <w:ind w:left="1080" w:hanging="360"/>
      </w:pPr>
      <w:rPr>
        <w:rFonts w:ascii="Courier New" w:hAnsi="Courier New" w:cs="Courier New" w:hint="default"/>
      </w:rPr>
    </w:lvl>
    <w:lvl w:ilvl="1" w:tplc="0409000F">
      <w:start w:val="1"/>
      <w:numFmt w:val="decimal"/>
      <w:lvlText w:val="%2."/>
      <w:lvlJc w:val="left"/>
      <w:pPr>
        <w:ind w:left="1800" w:hanging="360"/>
      </w:pPr>
      <w:rPr>
        <w:rFonts w:cs="Times New Roman"/>
      </w:rPr>
    </w:lvl>
    <w:lvl w:ilvl="2" w:tplc="28FA7ACC">
      <w:start w:val="1"/>
      <w:numFmt w:val="lowerRoman"/>
      <w:lvlText w:val="%3."/>
      <w:lvlJc w:val="right"/>
      <w:pPr>
        <w:ind w:left="2520" w:hanging="180"/>
      </w:pPr>
      <w:rPr>
        <w:rFonts w:cs="Times New Roman"/>
      </w:rPr>
    </w:lvl>
    <w:lvl w:ilvl="3" w:tplc="455ADDE4">
      <w:start w:val="1"/>
      <w:numFmt w:val="decimal"/>
      <w:lvlText w:val="%4."/>
      <w:lvlJc w:val="left"/>
      <w:pPr>
        <w:ind w:left="3240" w:hanging="360"/>
      </w:pPr>
      <w:rPr>
        <w:rFonts w:cs="Times New Roman"/>
      </w:rPr>
    </w:lvl>
    <w:lvl w:ilvl="4" w:tplc="2CB45944">
      <w:start w:val="1"/>
      <w:numFmt w:val="lowerLetter"/>
      <w:lvlText w:val="%5."/>
      <w:lvlJc w:val="left"/>
      <w:pPr>
        <w:ind w:left="3960" w:hanging="360"/>
      </w:pPr>
      <w:rPr>
        <w:rFonts w:cs="Times New Roman"/>
      </w:rPr>
    </w:lvl>
    <w:lvl w:ilvl="5" w:tplc="E3E2064E">
      <w:start w:val="1"/>
      <w:numFmt w:val="lowerRoman"/>
      <w:lvlText w:val="%6."/>
      <w:lvlJc w:val="right"/>
      <w:pPr>
        <w:ind w:left="4680" w:hanging="180"/>
      </w:pPr>
      <w:rPr>
        <w:rFonts w:cs="Times New Roman"/>
      </w:rPr>
    </w:lvl>
    <w:lvl w:ilvl="6" w:tplc="43706C9E">
      <w:start w:val="1"/>
      <w:numFmt w:val="decimal"/>
      <w:lvlText w:val="%7."/>
      <w:lvlJc w:val="left"/>
      <w:pPr>
        <w:ind w:left="5400" w:hanging="360"/>
      </w:pPr>
      <w:rPr>
        <w:rFonts w:cs="Times New Roman"/>
      </w:rPr>
    </w:lvl>
    <w:lvl w:ilvl="7" w:tplc="80465D24">
      <w:start w:val="1"/>
      <w:numFmt w:val="lowerLetter"/>
      <w:lvlText w:val="%8."/>
      <w:lvlJc w:val="left"/>
      <w:pPr>
        <w:ind w:left="6120" w:hanging="360"/>
      </w:pPr>
      <w:rPr>
        <w:rFonts w:cs="Times New Roman"/>
      </w:rPr>
    </w:lvl>
    <w:lvl w:ilvl="8" w:tplc="A90EE700">
      <w:start w:val="1"/>
      <w:numFmt w:val="lowerRoman"/>
      <w:lvlText w:val="%9."/>
      <w:lvlJc w:val="right"/>
      <w:pPr>
        <w:ind w:left="6840" w:hanging="180"/>
      </w:pPr>
      <w:rPr>
        <w:rFonts w:cs="Times New Roman"/>
      </w:rPr>
    </w:lvl>
  </w:abstractNum>
  <w:abstractNum w:abstractNumId="17" w15:restartNumberingAfterBreak="0">
    <w:nsid w:val="5E90783D"/>
    <w:multiLevelType w:val="hybridMultilevel"/>
    <w:tmpl w:val="37BC9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A03ED7"/>
    <w:multiLevelType w:val="hybridMultilevel"/>
    <w:tmpl w:val="B9BAC188"/>
    <w:lvl w:ilvl="0" w:tplc="04090019">
      <w:start w:val="1"/>
      <w:numFmt w:val="lowerLetter"/>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E55117"/>
    <w:multiLevelType w:val="hybridMultilevel"/>
    <w:tmpl w:val="3342C5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53A0508"/>
    <w:multiLevelType w:val="hybridMultilevel"/>
    <w:tmpl w:val="446076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9CB43A3"/>
    <w:multiLevelType w:val="hybridMultilevel"/>
    <w:tmpl w:val="EB8AB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E55C47"/>
    <w:multiLevelType w:val="hybridMultilevel"/>
    <w:tmpl w:val="B188652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81099091">
    <w:abstractNumId w:val="17"/>
  </w:num>
  <w:num w:numId="2" w16cid:durableId="1244339643">
    <w:abstractNumId w:val="1"/>
  </w:num>
  <w:num w:numId="3" w16cid:durableId="226691756">
    <w:abstractNumId w:val="16"/>
  </w:num>
  <w:num w:numId="4" w16cid:durableId="21132387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1728287">
    <w:abstractNumId w:val="8"/>
  </w:num>
  <w:num w:numId="6" w16cid:durableId="812137316">
    <w:abstractNumId w:val="14"/>
  </w:num>
  <w:num w:numId="7" w16cid:durableId="391076579">
    <w:abstractNumId w:val="7"/>
  </w:num>
  <w:num w:numId="8" w16cid:durableId="808130685">
    <w:abstractNumId w:val="0"/>
  </w:num>
  <w:num w:numId="9" w16cid:durableId="1310137043">
    <w:abstractNumId w:val="11"/>
  </w:num>
  <w:num w:numId="10" w16cid:durableId="1727415758">
    <w:abstractNumId w:val="9"/>
  </w:num>
  <w:num w:numId="11" w16cid:durableId="274218998">
    <w:abstractNumId w:val="2"/>
  </w:num>
  <w:num w:numId="12" w16cid:durableId="1827815416">
    <w:abstractNumId w:val="12"/>
  </w:num>
  <w:num w:numId="13" w16cid:durableId="1382166667">
    <w:abstractNumId w:val="22"/>
  </w:num>
  <w:num w:numId="14" w16cid:durableId="1543444722">
    <w:abstractNumId w:val="3"/>
  </w:num>
  <w:num w:numId="15" w16cid:durableId="1845824967">
    <w:abstractNumId w:val="5"/>
  </w:num>
  <w:num w:numId="16" w16cid:durableId="1807160825">
    <w:abstractNumId w:val="6"/>
  </w:num>
  <w:num w:numId="17" w16cid:durableId="188879281">
    <w:abstractNumId w:val="21"/>
  </w:num>
  <w:num w:numId="18" w16cid:durableId="465202059">
    <w:abstractNumId w:val="18"/>
  </w:num>
  <w:num w:numId="19" w16cid:durableId="931821234">
    <w:abstractNumId w:val="19"/>
  </w:num>
  <w:num w:numId="20" w16cid:durableId="1187869932">
    <w:abstractNumId w:val="13"/>
  </w:num>
  <w:num w:numId="21" w16cid:durableId="1480222462">
    <w:abstractNumId w:val="20"/>
  </w:num>
  <w:num w:numId="22" w16cid:durableId="1091513854">
    <w:abstractNumId w:val="4"/>
  </w:num>
  <w:num w:numId="23" w16cid:durableId="1483276320">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9DB"/>
    <w:rsid w:val="00002491"/>
    <w:rsid w:val="000069F0"/>
    <w:rsid w:val="000144E0"/>
    <w:rsid w:val="000151C2"/>
    <w:rsid w:val="000157F3"/>
    <w:rsid w:val="00017931"/>
    <w:rsid w:val="000215C5"/>
    <w:rsid w:val="000230ED"/>
    <w:rsid w:val="00031808"/>
    <w:rsid w:val="000321F6"/>
    <w:rsid w:val="00035845"/>
    <w:rsid w:val="00042279"/>
    <w:rsid w:val="000443E9"/>
    <w:rsid w:val="00047479"/>
    <w:rsid w:val="0004765F"/>
    <w:rsid w:val="000528F9"/>
    <w:rsid w:val="000555FB"/>
    <w:rsid w:val="00080692"/>
    <w:rsid w:val="00087B8A"/>
    <w:rsid w:val="000909A0"/>
    <w:rsid w:val="00097495"/>
    <w:rsid w:val="00097EEC"/>
    <w:rsid w:val="000A70FD"/>
    <w:rsid w:val="000B2258"/>
    <w:rsid w:val="000B4F6B"/>
    <w:rsid w:val="000B5E48"/>
    <w:rsid w:val="000B6B25"/>
    <w:rsid w:val="000B710F"/>
    <w:rsid w:val="000B7634"/>
    <w:rsid w:val="000C0CB1"/>
    <w:rsid w:val="000C2369"/>
    <w:rsid w:val="000C633A"/>
    <w:rsid w:val="000C6DEC"/>
    <w:rsid w:val="000C7110"/>
    <w:rsid w:val="000D02EA"/>
    <w:rsid w:val="000D3508"/>
    <w:rsid w:val="000D4447"/>
    <w:rsid w:val="000D73AC"/>
    <w:rsid w:val="000E1964"/>
    <w:rsid w:val="000E2A7C"/>
    <w:rsid w:val="000E5093"/>
    <w:rsid w:val="000F13A0"/>
    <w:rsid w:val="001000CF"/>
    <w:rsid w:val="001108ED"/>
    <w:rsid w:val="001135F0"/>
    <w:rsid w:val="0011441D"/>
    <w:rsid w:val="00114DA6"/>
    <w:rsid w:val="00116750"/>
    <w:rsid w:val="00120CF8"/>
    <w:rsid w:val="00121813"/>
    <w:rsid w:val="00123BDC"/>
    <w:rsid w:val="001309A0"/>
    <w:rsid w:val="00131977"/>
    <w:rsid w:val="00134FC2"/>
    <w:rsid w:val="001414F3"/>
    <w:rsid w:val="001448E6"/>
    <w:rsid w:val="001458E9"/>
    <w:rsid w:val="001471B1"/>
    <w:rsid w:val="00153870"/>
    <w:rsid w:val="00154B50"/>
    <w:rsid w:val="00157D1D"/>
    <w:rsid w:val="0016238A"/>
    <w:rsid w:val="0016292E"/>
    <w:rsid w:val="00165427"/>
    <w:rsid w:val="00167FCF"/>
    <w:rsid w:val="00173FB6"/>
    <w:rsid w:val="001740F5"/>
    <w:rsid w:val="00175539"/>
    <w:rsid w:val="00177AF7"/>
    <w:rsid w:val="00180414"/>
    <w:rsid w:val="0018058B"/>
    <w:rsid w:val="001815FD"/>
    <w:rsid w:val="00187748"/>
    <w:rsid w:val="00190FF5"/>
    <w:rsid w:val="00193576"/>
    <w:rsid w:val="00196880"/>
    <w:rsid w:val="001A3EC8"/>
    <w:rsid w:val="001B1565"/>
    <w:rsid w:val="001C285D"/>
    <w:rsid w:val="001C5D3E"/>
    <w:rsid w:val="001D6653"/>
    <w:rsid w:val="001E028D"/>
    <w:rsid w:val="001E0848"/>
    <w:rsid w:val="001E45C7"/>
    <w:rsid w:val="001F3790"/>
    <w:rsid w:val="00207E95"/>
    <w:rsid w:val="0021031D"/>
    <w:rsid w:val="002112AB"/>
    <w:rsid w:val="00211648"/>
    <w:rsid w:val="002119D1"/>
    <w:rsid w:val="00213D6D"/>
    <w:rsid w:val="0021646A"/>
    <w:rsid w:val="0023066D"/>
    <w:rsid w:val="0023536D"/>
    <w:rsid w:val="00242BE2"/>
    <w:rsid w:val="002523DB"/>
    <w:rsid w:val="002528D6"/>
    <w:rsid w:val="00253340"/>
    <w:rsid w:val="00255A78"/>
    <w:rsid w:val="00255E2A"/>
    <w:rsid w:val="00267BB5"/>
    <w:rsid w:val="00273AB8"/>
    <w:rsid w:val="00275BBE"/>
    <w:rsid w:val="00277642"/>
    <w:rsid w:val="002779B9"/>
    <w:rsid w:val="002805F9"/>
    <w:rsid w:val="0028468D"/>
    <w:rsid w:val="00286FF5"/>
    <w:rsid w:val="002A0459"/>
    <w:rsid w:val="002A0E9D"/>
    <w:rsid w:val="002A14BA"/>
    <w:rsid w:val="002A472D"/>
    <w:rsid w:val="002A4850"/>
    <w:rsid w:val="002A4AFB"/>
    <w:rsid w:val="002A6477"/>
    <w:rsid w:val="002A6BA7"/>
    <w:rsid w:val="002B3396"/>
    <w:rsid w:val="002B49F3"/>
    <w:rsid w:val="002B597C"/>
    <w:rsid w:val="002C0868"/>
    <w:rsid w:val="002C1345"/>
    <w:rsid w:val="002C23EA"/>
    <w:rsid w:val="002C241C"/>
    <w:rsid w:val="002C66FB"/>
    <w:rsid w:val="002D07A8"/>
    <w:rsid w:val="002D0EDA"/>
    <w:rsid w:val="002D4681"/>
    <w:rsid w:val="002E12FF"/>
    <w:rsid w:val="002F4FA9"/>
    <w:rsid w:val="002F5431"/>
    <w:rsid w:val="002F6E13"/>
    <w:rsid w:val="002F775F"/>
    <w:rsid w:val="00300F79"/>
    <w:rsid w:val="00305455"/>
    <w:rsid w:val="003068F1"/>
    <w:rsid w:val="00315B08"/>
    <w:rsid w:val="00323CED"/>
    <w:rsid w:val="0032586F"/>
    <w:rsid w:val="00327D0E"/>
    <w:rsid w:val="0033060F"/>
    <w:rsid w:val="00334333"/>
    <w:rsid w:val="00340891"/>
    <w:rsid w:val="00340B3C"/>
    <w:rsid w:val="0034530B"/>
    <w:rsid w:val="00345447"/>
    <w:rsid w:val="003500CC"/>
    <w:rsid w:val="0035057F"/>
    <w:rsid w:val="00351140"/>
    <w:rsid w:val="003516C8"/>
    <w:rsid w:val="0035265C"/>
    <w:rsid w:val="00354200"/>
    <w:rsid w:val="00362281"/>
    <w:rsid w:val="003629E1"/>
    <w:rsid w:val="00363308"/>
    <w:rsid w:val="003671EA"/>
    <w:rsid w:val="0036721C"/>
    <w:rsid w:val="003733D5"/>
    <w:rsid w:val="00373EE0"/>
    <w:rsid w:val="00374C9B"/>
    <w:rsid w:val="003753FB"/>
    <w:rsid w:val="0038065B"/>
    <w:rsid w:val="00381AD8"/>
    <w:rsid w:val="00386E71"/>
    <w:rsid w:val="00394C10"/>
    <w:rsid w:val="0039661F"/>
    <w:rsid w:val="00396930"/>
    <w:rsid w:val="003A0AFC"/>
    <w:rsid w:val="003B03E2"/>
    <w:rsid w:val="003B5F01"/>
    <w:rsid w:val="003C1DBA"/>
    <w:rsid w:val="003C2A56"/>
    <w:rsid w:val="003D6DFB"/>
    <w:rsid w:val="003D7EDC"/>
    <w:rsid w:val="003E019B"/>
    <w:rsid w:val="003E2318"/>
    <w:rsid w:val="003E48C9"/>
    <w:rsid w:val="003F2105"/>
    <w:rsid w:val="003F3607"/>
    <w:rsid w:val="003F3767"/>
    <w:rsid w:val="00400539"/>
    <w:rsid w:val="00401FBE"/>
    <w:rsid w:val="00402AC5"/>
    <w:rsid w:val="00402B58"/>
    <w:rsid w:val="004102C0"/>
    <w:rsid w:val="0041349D"/>
    <w:rsid w:val="004151DA"/>
    <w:rsid w:val="00417CA3"/>
    <w:rsid w:val="00427358"/>
    <w:rsid w:val="00430003"/>
    <w:rsid w:val="00431484"/>
    <w:rsid w:val="0043215C"/>
    <w:rsid w:val="00434921"/>
    <w:rsid w:val="00434D76"/>
    <w:rsid w:val="00437A8D"/>
    <w:rsid w:val="0044077A"/>
    <w:rsid w:val="00444C2D"/>
    <w:rsid w:val="00444E3C"/>
    <w:rsid w:val="004500EF"/>
    <w:rsid w:val="00450285"/>
    <w:rsid w:val="0045036B"/>
    <w:rsid w:val="0045397B"/>
    <w:rsid w:val="0045791A"/>
    <w:rsid w:val="00462881"/>
    <w:rsid w:val="00462B04"/>
    <w:rsid w:val="00464CAD"/>
    <w:rsid w:val="00465E1E"/>
    <w:rsid w:val="00470C77"/>
    <w:rsid w:val="00472A17"/>
    <w:rsid w:val="004747AA"/>
    <w:rsid w:val="004762C9"/>
    <w:rsid w:val="00480E68"/>
    <w:rsid w:val="00483193"/>
    <w:rsid w:val="00483561"/>
    <w:rsid w:val="00486929"/>
    <w:rsid w:val="00490B27"/>
    <w:rsid w:val="00496AF7"/>
    <w:rsid w:val="004A16F2"/>
    <w:rsid w:val="004B1F47"/>
    <w:rsid w:val="004B4735"/>
    <w:rsid w:val="004B4CA0"/>
    <w:rsid w:val="004C57A7"/>
    <w:rsid w:val="004C5EC1"/>
    <w:rsid w:val="004C67C3"/>
    <w:rsid w:val="004D05D9"/>
    <w:rsid w:val="004D32F4"/>
    <w:rsid w:val="004D45DD"/>
    <w:rsid w:val="004D68BA"/>
    <w:rsid w:val="004E4AB5"/>
    <w:rsid w:val="004E597B"/>
    <w:rsid w:val="004E650D"/>
    <w:rsid w:val="00502F11"/>
    <w:rsid w:val="00503F73"/>
    <w:rsid w:val="005048AF"/>
    <w:rsid w:val="005075CE"/>
    <w:rsid w:val="0051131E"/>
    <w:rsid w:val="00511F6E"/>
    <w:rsid w:val="005131BE"/>
    <w:rsid w:val="00522AB2"/>
    <w:rsid w:val="005235D3"/>
    <w:rsid w:val="00525323"/>
    <w:rsid w:val="00536CE2"/>
    <w:rsid w:val="0054199F"/>
    <w:rsid w:val="0054420F"/>
    <w:rsid w:val="0054421C"/>
    <w:rsid w:val="00545544"/>
    <w:rsid w:val="00545854"/>
    <w:rsid w:val="00554B0B"/>
    <w:rsid w:val="005568E8"/>
    <w:rsid w:val="00572423"/>
    <w:rsid w:val="005746AB"/>
    <w:rsid w:val="00577C70"/>
    <w:rsid w:val="005820E4"/>
    <w:rsid w:val="005829DB"/>
    <w:rsid w:val="00583573"/>
    <w:rsid w:val="00584525"/>
    <w:rsid w:val="00595E48"/>
    <w:rsid w:val="00596B15"/>
    <w:rsid w:val="00597470"/>
    <w:rsid w:val="00597FD2"/>
    <w:rsid w:val="005A1FBB"/>
    <w:rsid w:val="005B3F50"/>
    <w:rsid w:val="005B4098"/>
    <w:rsid w:val="005C010D"/>
    <w:rsid w:val="005C0352"/>
    <w:rsid w:val="005C0A3D"/>
    <w:rsid w:val="005C0C9E"/>
    <w:rsid w:val="005C13C2"/>
    <w:rsid w:val="005D0FD7"/>
    <w:rsid w:val="005D2C25"/>
    <w:rsid w:val="005D2D7F"/>
    <w:rsid w:val="005D576D"/>
    <w:rsid w:val="005E0337"/>
    <w:rsid w:val="005E2893"/>
    <w:rsid w:val="005E7E9B"/>
    <w:rsid w:val="005F1525"/>
    <w:rsid w:val="00600BDF"/>
    <w:rsid w:val="00604663"/>
    <w:rsid w:val="0060716A"/>
    <w:rsid w:val="0061746F"/>
    <w:rsid w:val="0062102A"/>
    <w:rsid w:val="00624171"/>
    <w:rsid w:val="00625D1F"/>
    <w:rsid w:val="00630761"/>
    <w:rsid w:val="00631193"/>
    <w:rsid w:val="00634858"/>
    <w:rsid w:val="006406FA"/>
    <w:rsid w:val="00645190"/>
    <w:rsid w:val="006459CB"/>
    <w:rsid w:val="00653406"/>
    <w:rsid w:val="00654F65"/>
    <w:rsid w:val="00660468"/>
    <w:rsid w:val="00676BE9"/>
    <w:rsid w:val="0068231C"/>
    <w:rsid w:val="006903D2"/>
    <w:rsid w:val="00693407"/>
    <w:rsid w:val="00693469"/>
    <w:rsid w:val="00697597"/>
    <w:rsid w:val="006A381C"/>
    <w:rsid w:val="006B1855"/>
    <w:rsid w:val="006B4114"/>
    <w:rsid w:val="006B4473"/>
    <w:rsid w:val="006B4D8E"/>
    <w:rsid w:val="006C3FB4"/>
    <w:rsid w:val="006C4AE7"/>
    <w:rsid w:val="006C6075"/>
    <w:rsid w:val="006D16D5"/>
    <w:rsid w:val="006D185D"/>
    <w:rsid w:val="006E1D43"/>
    <w:rsid w:val="006E30AA"/>
    <w:rsid w:val="006E3E90"/>
    <w:rsid w:val="006F2977"/>
    <w:rsid w:val="006F6DC7"/>
    <w:rsid w:val="006F793C"/>
    <w:rsid w:val="0070059A"/>
    <w:rsid w:val="00701858"/>
    <w:rsid w:val="007109C7"/>
    <w:rsid w:val="00720E61"/>
    <w:rsid w:val="00721212"/>
    <w:rsid w:val="00721F77"/>
    <w:rsid w:val="007238C7"/>
    <w:rsid w:val="00727354"/>
    <w:rsid w:val="00737B5C"/>
    <w:rsid w:val="00741175"/>
    <w:rsid w:val="00741CFA"/>
    <w:rsid w:val="007437C2"/>
    <w:rsid w:val="00750C65"/>
    <w:rsid w:val="00754F9E"/>
    <w:rsid w:val="00755B4B"/>
    <w:rsid w:val="0076189F"/>
    <w:rsid w:val="00763DBE"/>
    <w:rsid w:val="00763E9D"/>
    <w:rsid w:val="00764869"/>
    <w:rsid w:val="00770D01"/>
    <w:rsid w:val="00771464"/>
    <w:rsid w:val="00772DFB"/>
    <w:rsid w:val="00774FF1"/>
    <w:rsid w:val="007810F2"/>
    <w:rsid w:val="00785DB3"/>
    <w:rsid w:val="0079662C"/>
    <w:rsid w:val="007A2F3F"/>
    <w:rsid w:val="007A3BA7"/>
    <w:rsid w:val="007A5468"/>
    <w:rsid w:val="007A70E2"/>
    <w:rsid w:val="007B0CED"/>
    <w:rsid w:val="007B2553"/>
    <w:rsid w:val="007B4434"/>
    <w:rsid w:val="007B535D"/>
    <w:rsid w:val="007B5894"/>
    <w:rsid w:val="007B5E14"/>
    <w:rsid w:val="007C16FD"/>
    <w:rsid w:val="007C1F9A"/>
    <w:rsid w:val="007C240D"/>
    <w:rsid w:val="007C52C6"/>
    <w:rsid w:val="007C6AEA"/>
    <w:rsid w:val="007C7574"/>
    <w:rsid w:val="007D2BF8"/>
    <w:rsid w:val="007D4B82"/>
    <w:rsid w:val="007D678B"/>
    <w:rsid w:val="007E154C"/>
    <w:rsid w:val="007E1AE2"/>
    <w:rsid w:val="007E2600"/>
    <w:rsid w:val="007E549B"/>
    <w:rsid w:val="007E54DA"/>
    <w:rsid w:val="007F01DB"/>
    <w:rsid w:val="007F482E"/>
    <w:rsid w:val="0080083F"/>
    <w:rsid w:val="008017B3"/>
    <w:rsid w:val="0080437D"/>
    <w:rsid w:val="00804AFA"/>
    <w:rsid w:val="00804DF3"/>
    <w:rsid w:val="0080785D"/>
    <w:rsid w:val="00812FEE"/>
    <w:rsid w:val="00817F02"/>
    <w:rsid w:val="0082634E"/>
    <w:rsid w:val="00833841"/>
    <w:rsid w:val="008364B9"/>
    <w:rsid w:val="00846CE4"/>
    <w:rsid w:val="008519FB"/>
    <w:rsid w:val="0085276C"/>
    <w:rsid w:val="008572A6"/>
    <w:rsid w:val="00857D3A"/>
    <w:rsid w:val="008641CE"/>
    <w:rsid w:val="00864B45"/>
    <w:rsid w:val="00865AE4"/>
    <w:rsid w:val="0086678A"/>
    <w:rsid w:val="00867585"/>
    <w:rsid w:val="008716F7"/>
    <w:rsid w:val="0087594E"/>
    <w:rsid w:val="008815AD"/>
    <w:rsid w:val="00883478"/>
    <w:rsid w:val="008837BE"/>
    <w:rsid w:val="008917C6"/>
    <w:rsid w:val="008935F9"/>
    <w:rsid w:val="008951F3"/>
    <w:rsid w:val="00895267"/>
    <w:rsid w:val="008A0864"/>
    <w:rsid w:val="008B359E"/>
    <w:rsid w:val="008B366D"/>
    <w:rsid w:val="008B672E"/>
    <w:rsid w:val="008C31B8"/>
    <w:rsid w:val="008C6159"/>
    <w:rsid w:val="008D15DA"/>
    <w:rsid w:val="008D4C9F"/>
    <w:rsid w:val="008D58FC"/>
    <w:rsid w:val="008E1C87"/>
    <w:rsid w:val="008E2343"/>
    <w:rsid w:val="008E461D"/>
    <w:rsid w:val="008F009A"/>
    <w:rsid w:val="008F2B95"/>
    <w:rsid w:val="008F386A"/>
    <w:rsid w:val="008F7936"/>
    <w:rsid w:val="00900605"/>
    <w:rsid w:val="00900B2D"/>
    <w:rsid w:val="00903043"/>
    <w:rsid w:val="00913223"/>
    <w:rsid w:val="00914DD3"/>
    <w:rsid w:val="00914F7C"/>
    <w:rsid w:val="009150FF"/>
    <w:rsid w:val="009174E4"/>
    <w:rsid w:val="009363D1"/>
    <w:rsid w:val="00942DAA"/>
    <w:rsid w:val="0094632E"/>
    <w:rsid w:val="00947507"/>
    <w:rsid w:val="0094754E"/>
    <w:rsid w:val="00950761"/>
    <w:rsid w:val="00952F5F"/>
    <w:rsid w:val="00953265"/>
    <w:rsid w:val="00955D4E"/>
    <w:rsid w:val="00957F14"/>
    <w:rsid w:val="00960C48"/>
    <w:rsid w:val="00965AEC"/>
    <w:rsid w:val="00970542"/>
    <w:rsid w:val="00971D07"/>
    <w:rsid w:val="009768FB"/>
    <w:rsid w:val="00977B4C"/>
    <w:rsid w:val="00980673"/>
    <w:rsid w:val="0098469E"/>
    <w:rsid w:val="009856F3"/>
    <w:rsid w:val="0098632C"/>
    <w:rsid w:val="00987A40"/>
    <w:rsid w:val="00993597"/>
    <w:rsid w:val="00997928"/>
    <w:rsid w:val="009A1210"/>
    <w:rsid w:val="009A3C66"/>
    <w:rsid w:val="009A5B6E"/>
    <w:rsid w:val="009A713B"/>
    <w:rsid w:val="009B3362"/>
    <w:rsid w:val="009B3A35"/>
    <w:rsid w:val="009B3F91"/>
    <w:rsid w:val="009B534B"/>
    <w:rsid w:val="009B5F97"/>
    <w:rsid w:val="009C1448"/>
    <w:rsid w:val="009C1640"/>
    <w:rsid w:val="009C2B47"/>
    <w:rsid w:val="009C4BA7"/>
    <w:rsid w:val="009C4F19"/>
    <w:rsid w:val="009C558F"/>
    <w:rsid w:val="009C55FC"/>
    <w:rsid w:val="009C7350"/>
    <w:rsid w:val="009D0EBE"/>
    <w:rsid w:val="009D22B6"/>
    <w:rsid w:val="009D4706"/>
    <w:rsid w:val="009D70D7"/>
    <w:rsid w:val="009D72CE"/>
    <w:rsid w:val="009E0382"/>
    <w:rsid w:val="009E0C30"/>
    <w:rsid w:val="009E5635"/>
    <w:rsid w:val="009E5B37"/>
    <w:rsid w:val="009E6BEC"/>
    <w:rsid w:val="009E7F8F"/>
    <w:rsid w:val="009F67D8"/>
    <w:rsid w:val="009F6F3B"/>
    <w:rsid w:val="00A10151"/>
    <w:rsid w:val="00A11348"/>
    <w:rsid w:val="00A116DA"/>
    <w:rsid w:val="00A13231"/>
    <w:rsid w:val="00A138AD"/>
    <w:rsid w:val="00A144F9"/>
    <w:rsid w:val="00A14BEA"/>
    <w:rsid w:val="00A153A3"/>
    <w:rsid w:val="00A15933"/>
    <w:rsid w:val="00A20470"/>
    <w:rsid w:val="00A20612"/>
    <w:rsid w:val="00A22C42"/>
    <w:rsid w:val="00A23F19"/>
    <w:rsid w:val="00A2585F"/>
    <w:rsid w:val="00A268FF"/>
    <w:rsid w:val="00A31631"/>
    <w:rsid w:val="00A41ED6"/>
    <w:rsid w:val="00A44A3A"/>
    <w:rsid w:val="00A54938"/>
    <w:rsid w:val="00A60354"/>
    <w:rsid w:val="00A637D1"/>
    <w:rsid w:val="00A63B8E"/>
    <w:rsid w:val="00A65036"/>
    <w:rsid w:val="00A653AA"/>
    <w:rsid w:val="00A677C2"/>
    <w:rsid w:val="00A803AE"/>
    <w:rsid w:val="00A82DC7"/>
    <w:rsid w:val="00A91348"/>
    <w:rsid w:val="00A948B7"/>
    <w:rsid w:val="00A949A3"/>
    <w:rsid w:val="00A9622B"/>
    <w:rsid w:val="00AA6FB6"/>
    <w:rsid w:val="00AB09A2"/>
    <w:rsid w:val="00AB3255"/>
    <w:rsid w:val="00AC390E"/>
    <w:rsid w:val="00AC3EDA"/>
    <w:rsid w:val="00AC671D"/>
    <w:rsid w:val="00AD023C"/>
    <w:rsid w:val="00AD35D1"/>
    <w:rsid w:val="00AD4371"/>
    <w:rsid w:val="00AD5605"/>
    <w:rsid w:val="00AE1E4B"/>
    <w:rsid w:val="00AE49D1"/>
    <w:rsid w:val="00AE60D7"/>
    <w:rsid w:val="00AF3A9D"/>
    <w:rsid w:val="00AF5E1A"/>
    <w:rsid w:val="00B01D5D"/>
    <w:rsid w:val="00B022FA"/>
    <w:rsid w:val="00B055BD"/>
    <w:rsid w:val="00B06EA4"/>
    <w:rsid w:val="00B11AEF"/>
    <w:rsid w:val="00B20237"/>
    <w:rsid w:val="00B23047"/>
    <w:rsid w:val="00B35AB9"/>
    <w:rsid w:val="00B40ACF"/>
    <w:rsid w:val="00B420F1"/>
    <w:rsid w:val="00B4343C"/>
    <w:rsid w:val="00B43623"/>
    <w:rsid w:val="00B44747"/>
    <w:rsid w:val="00B4550B"/>
    <w:rsid w:val="00B5054F"/>
    <w:rsid w:val="00B51909"/>
    <w:rsid w:val="00B52A76"/>
    <w:rsid w:val="00B55E6C"/>
    <w:rsid w:val="00B63D63"/>
    <w:rsid w:val="00B66662"/>
    <w:rsid w:val="00B70393"/>
    <w:rsid w:val="00B74E68"/>
    <w:rsid w:val="00B81FF9"/>
    <w:rsid w:val="00B863B8"/>
    <w:rsid w:val="00B878E8"/>
    <w:rsid w:val="00B96F00"/>
    <w:rsid w:val="00BA0A2B"/>
    <w:rsid w:val="00BA284E"/>
    <w:rsid w:val="00BA7C01"/>
    <w:rsid w:val="00BB19EA"/>
    <w:rsid w:val="00BB1AC8"/>
    <w:rsid w:val="00BB2801"/>
    <w:rsid w:val="00BC020F"/>
    <w:rsid w:val="00BC6DE9"/>
    <w:rsid w:val="00BD382D"/>
    <w:rsid w:val="00BD47B6"/>
    <w:rsid w:val="00BD6008"/>
    <w:rsid w:val="00BD7209"/>
    <w:rsid w:val="00BD7377"/>
    <w:rsid w:val="00BE048B"/>
    <w:rsid w:val="00BF5BE0"/>
    <w:rsid w:val="00BF7168"/>
    <w:rsid w:val="00BF7A5E"/>
    <w:rsid w:val="00C03503"/>
    <w:rsid w:val="00C03650"/>
    <w:rsid w:val="00C041A3"/>
    <w:rsid w:val="00C053A7"/>
    <w:rsid w:val="00C10FD5"/>
    <w:rsid w:val="00C129AE"/>
    <w:rsid w:val="00C14B78"/>
    <w:rsid w:val="00C14FA6"/>
    <w:rsid w:val="00C14FAF"/>
    <w:rsid w:val="00C22B66"/>
    <w:rsid w:val="00C274D4"/>
    <w:rsid w:val="00C300C7"/>
    <w:rsid w:val="00C30183"/>
    <w:rsid w:val="00C31DE9"/>
    <w:rsid w:val="00C33339"/>
    <w:rsid w:val="00C344C3"/>
    <w:rsid w:val="00C35BF7"/>
    <w:rsid w:val="00C4149E"/>
    <w:rsid w:val="00C42C04"/>
    <w:rsid w:val="00C46409"/>
    <w:rsid w:val="00C50FFD"/>
    <w:rsid w:val="00C520DE"/>
    <w:rsid w:val="00C538BA"/>
    <w:rsid w:val="00C543B3"/>
    <w:rsid w:val="00C602DF"/>
    <w:rsid w:val="00C62EE1"/>
    <w:rsid w:val="00C670FE"/>
    <w:rsid w:val="00C71F96"/>
    <w:rsid w:val="00C72E83"/>
    <w:rsid w:val="00C7638B"/>
    <w:rsid w:val="00C835B7"/>
    <w:rsid w:val="00C902EA"/>
    <w:rsid w:val="00C90583"/>
    <w:rsid w:val="00C96854"/>
    <w:rsid w:val="00C97933"/>
    <w:rsid w:val="00CA0B2C"/>
    <w:rsid w:val="00CA33B7"/>
    <w:rsid w:val="00CA537B"/>
    <w:rsid w:val="00CA60F0"/>
    <w:rsid w:val="00CA7D71"/>
    <w:rsid w:val="00CB134B"/>
    <w:rsid w:val="00CC2130"/>
    <w:rsid w:val="00CC3300"/>
    <w:rsid w:val="00CC33EA"/>
    <w:rsid w:val="00CC3C77"/>
    <w:rsid w:val="00CC5409"/>
    <w:rsid w:val="00CC67DD"/>
    <w:rsid w:val="00CD4020"/>
    <w:rsid w:val="00CD4F62"/>
    <w:rsid w:val="00CD5174"/>
    <w:rsid w:val="00CD5901"/>
    <w:rsid w:val="00CD6B54"/>
    <w:rsid w:val="00CE062B"/>
    <w:rsid w:val="00CE1659"/>
    <w:rsid w:val="00CE42AF"/>
    <w:rsid w:val="00CF2C6B"/>
    <w:rsid w:val="00CF61EE"/>
    <w:rsid w:val="00D06791"/>
    <w:rsid w:val="00D07B93"/>
    <w:rsid w:val="00D07D25"/>
    <w:rsid w:val="00D15252"/>
    <w:rsid w:val="00D164F8"/>
    <w:rsid w:val="00D228B7"/>
    <w:rsid w:val="00D2410D"/>
    <w:rsid w:val="00D248CE"/>
    <w:rsid w:val="00D2524C"/>
    <w:rsid w:val="00D2647F"/>
    <w:rsid w:val="00D30101"/>
    <w:rsid w:val="00D33362"/>
    <w:rsid w:val="00D340CA"/>
    <w:rsid w:val="00D3489C"/>
    <w:rsid w:val="00D35016"/>
    <w:rsid w:val="00D35059"/>
    <w:rsid w:val="00D368AA"/>
    <w:rsid w:val="00D451F2"/>
    <w:rsid w:val="00D460D0"/>
    <w:rsid w:val="00D46CBC"/>
    <w:rsid w:val="00D5242B"/>
    <w:rsid w:val="00D61795"/>
    <w:rsid w:val="00D61AEB"/>
    <w:rsid w:val="00D61B81"/>
    <w:rsid w:val="00D63A65"/>
    <w:rsid w:val="00D6633C"/>
    <w:rsid w:val="00D72A1D"/>
    <w:rsid w:val="00D76FBD"/>
    <w:rsid w:val="00D77E82"/>
    <w:rsid w:val="00D8614F"/>
    <w:rsid w:val="00D86742"/>
    <w:rsid w:val="00D92ED5"/>
    <w:rsid w:val="00D96FB0"/>
    <w:rsid w:val="00D97E65"/>
    <w:rsid w:val="00DA2D4E"/>
    <w:rsid w:val="00DA4E42"/>
    <w:rsid w:val="00DA6098"/>
    <w:rsid w:val="00DA701D"/>
    <w:rsid w:val="00DB1D63"/>
    <w:rsid w:val="00DB29BF"/>
    <w:rsid w:val="00DB339C"/>
    <w:rsid w:val="00DD25C1"/>
    <w:rsid w:val="00DD2927"/>
    <w:rsid w:val="00DD53AE"/>
    <w:rsid w:val="00DD5FC4"/>
    <w:rsid w:val="00DE095E"/>
    <w:rsid w:val="00DE264C"/>
    <w:rsid w:val="00DE3118"/>
    <w:rsid w:val="00DE51D8"/>
    <w:rsid w:val="00DE744F"/>
    <w:rsid w:val="00DF1981"/>
    <w:rsid w:val="00E004F0"/>
    <w:rsid w:val="00E03634"/>
    <w:rsid w:val="00E0515D"/>
    <w:rsid w:val="00E0603F"/>
    <w:rsid w:val="00E063A8"/>
    <w:rsid w:val="00E1070E"/>
    <w:rsid w:val="00E131AC"/>
    <w:rsid w:val="00E23DA2"/>
    <w:rsid w:val="00E25406"/>
    <w:rsid w:val="00E26B23"/>
    <w:rsid w:val="00E33A85"/>
    <w:rsid w:val="00E44C4F"/>
    <w:rsid w:val="00E46ABB"/>
    <w:rsid w:val="00E51D40"/>
    <w:rsid w:val="00E5366A"/>
    <w:rsid w:val="00E54FC4"/>
    <w:rsid w:val="00E57B47"/>
    <w:rsid w:val="00E6117A"/>
    <w:rsid w:val="00E74D80"/>
    <w:rsid w:val="00E802BE"/>
    <w:rsid w:val="00E85DA1"/>
    <w:rsid w:val="00E90653"/>
    <w:rsid w:val="00E91623"/>
    <w:rsid w:val="00E91D35"/>
    <w:rsid w:val="00E949BE"/>
    <w:rsid w:val="00EA11E7"/>
    <w:rsid w:val="00EA70C3"/>
    <w:rsid w:val="00EB2AC5"/>
    <w:rsid w:val="00EB31BC"/>
    <w:rsid w:val="00EC281A"/>
    <w:rsid w:val="00EC31E2"/>
    <w:rsid w:val="00EC3FA7"/>
    <w:rsid w:val="00EC4F71"/>
    <w:rsid w:val="00EC53CE"/>
    <w:rsid w:val="00EC576D"/>
    <w:rsid w:val="00EC5F28"/>
    <w:rsid w:val="00ED074D"/>
    <w:rsid w:val="00ED1482"/>
    <w:rsid w:val="00ED5224"/>
    <w:rsid w:val="00EE2473"/>
    <w:rsid w:val="00EE4DDE"/>
    <w:rsid w:val="00EF3B8E"/>
    <w:rsid w:val="00EF5B12"/>
    <w:rsid w:val="00F0345F"/>
    <w:rsid w:val="00F0613C"/>
    <w:rsid w:val="00F07E19"/>
    <w:rsid w:val="00F113AF"/>
    <w:rsid w:val="00F148EA"/>
    <w:rsid w:val="00F1498D"/>
    <w:rsid w:val="00F1572F"/>
    <w:rsid w:val="00F23662"/>
    <w:rsid w:val="00F24528"/>
    <w:rsid w:val="00F304F2"/>
    <w:rsid w:val="00F325D3"/>
    <w:rsid w:val="00F34E85"/>
    <w:rsid w:val="00F34FE4"/>
    <w:rsid w:val="00F36456"/>
    <w:rsid w:val="00F4096B"/>
    <w:rsid w:val="00F41AF7"/>
    <w:rsid w:val="00F42AC4"/>
    <w:rsid w:val="00F448A1"/>
    <w:rsid w:val="00F45571"/>
    <w:rsid w:val="00F45CDD"/>
    <w:rsid w:val="00F478A8"/>
    <w:rsid w:val="00F50244"/>
    <w:rsid w:val="00F51482"/>
    <w:rsid w:val="00F5634E"/>
    <w:rsid w:val="00F6600B"/>
    <w:rsid w:val="00F67138"/>
    <w:rsid w:val="00F71943"/>
    <w:rsid w:val="00F73544"/>
    <w:rsid w:val="00F7377E"/>
    <w:rsid w:val="00F93018"/>
    <w:rsid w:val="00F938F5"/>
    <w:rsid w:val="00F93D67"/>
    <w:rsid w:val="00FA1324"/>
    <w:rsid w:val="00FA280D"/>
    <w:rsid w:val="00FA4D5F"/>
    <w:rsid w:val="00FB0BF0"/>
    <w:rsid w:val="00FB4BAA"/>
    <w:rsid w:val="00FC2CF8"/>
    <w:rsid w:val="00FC3E1B"/>
    <w:rsid w:val="00FC492D"/>
    <w:rsid w:val="00FC5C2F"/>
    <w:rsid w:val="00FC76D9"/>
    <w:rsid w:val="00FC7CB3"/>
    <w:rsid w:val="00FD0D9D"/>
    <w:rsid w:val="00FD2B6F"/>
    <w:rsid w:val="00FD4BD0"/>
    <w:rsid w:val="00FD672C"/>
    <w:rsid w:val="00FE2DBD"/>
    <w:rsid w:val="00FF0695"/>
    <w:rsid w:val="00FF2EF2"/>
    <w:rsid w:val="00FF4E88"/>
    <w:rsid w:val="00FF626B"/>
    <w:rsid w:val="00FF6661"/>
    <w:rsid w:val="00FF7608"/>
    <w:rsid w:val="00FF7B3A"/>
    <w:rsid w:val="1AE0977E"/>
    <w:rsid w:val="50095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CE8C4"/>
  <w15:chartTrackingRefBased/>
  <w15:docId w15:val="{58B4727C-3FA1-40E4-BA6B-B1AB0A759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9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1"/>
    <w:basedOn w:val="Normal"/>
    <w:link w:val="ListParagraphChar"/>
    <w:uiPriority w:val="34"/>
    <w:qFormat/>
    <w:rsid w:val="005829DB"/>
    <w:pPr>
      <w:ind w:left="720"/>
      <w:contextualSpacing/>
    </w:pPr>
  </w:style>
  <w:style w:type="paragraph" w:customStyle="1" w:styleId="xxmsonormal">
    <w:name w:val="x_xmsonormal"/>
    <w:basedOn w:val="Normal"/>
    <w:rsid w:val="00BA0A2B"/>
    <w:pPr>
      <w:spacing w:after="0" w:line="240" w:lineRule="auto"/>
    </w:pPr>
    <w:rPr>
      <w:rFonts w:ascii="Calibri" w:hAnsi="Calibri" w:cs="Calibri"/>
    </w:rPr>
  </w:style>
  <w:style w:type="character" w:styleId="Hyperlink">
    <w:name w:val="Hyperlink"/>
    <w:basedOn w:val="DefaultParagraphFont"/>
    <w:uiPriority w:val="99"/>
    <w:unhideWhenUsed/>
    <w:rsid w:val="00F41AF7"/>
    <w:rPr>
      <w:color w:val="0563C1" w:themeColor="hyperlink"/>
      <w:u w:val="single"/>
    </w:rPr>
  </w:style>
  <w:style w:type="character" w:styleId="UnresolvedMention">
    <w:name w:val="Unresolved Mention"/>
    <w:basedOn w:val="DefaultParagraphFont"/>
    <w:uiPriority w:val="99"/>
    <w:semiHidden/>
    <w:unhideWhenUsed/>
    <w:rsid w:val="00F41AF7"/>
    <w:rPr>
      <w:color w:val="605E5C"/>
      <w:shd w:val="clear" w:color="auto" w:fill="E1DFDD"/>
    </w:rPr>
  </w:style>
  <w:style w:type="paragraph" w:customStyle="1" w:styleId="Default">
    <w:name w:val="Default"/>
    <w:rsid w:val="001740F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D58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8FC"/>
  </w:style>
  <w:style w:type="paragraph" w:styleId="Footer">
    <w:name w:val="footer"/>
    <w:basedOn w:val="Normal"/>
    <w:link w:val="FooterChar"/>
    <w:uiPriority w:val="99"/>
    <w:unhideWhenUsed/>
    <w:rsid w:val="008D58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8FC"/>
  </w:style>
  <w:style w:type="table" w:styleId="TableGrid">
    <w:name w:val="Table Grid"/>
    <w:basedOn w:val="TableNormal"/>
    <w:uiPriority w:val="39"/>
    <w:rsid w:val="0043215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C54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C5409"/>
  </w:style>
  <w:style w:type="character" w:customStyle="1" w:styleId="eop">
    <w:name w:val="eop"/>
    <w:basedOn w:val="DefaultParagraphFont"/>
    <w:rsid w:val="00CC5409"/>
  </w:style>
  <w:style w:type="character" w:customStyle="1" w:styleId="superscript">
    <w:name w:val="superscript"/>
    <w:basedOn w:val="DefaultParagraphFont"/>
    <w:rsid w:val="00CC5409"/>
  </w:style>
  <w:style w:type="paragraph" w:styleId="NormalWeb">
    <w:name w:val="Normal (Web)"/>
    <w:basedOn w:val="Normal"/>
    <w:uiPriority w:val="99"/>
    <w:semiHidden/>
    <w:unhideWhenUsed/>
    <w:rsid w:val="00BD7209"/>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D382D"/>
    <w:rPr>
      <w:color w:val="954F72" w:themeColor="followedHyperlink"/>
      <w:u w:val="single"/>
    </w:rPr>
  </w:style>
  <w:style w:type="character" w:customStyle="1" w:styleId="ListParagraphChar">
    <w:name w:val="List Paragraph Char"/>
    <w:aliases w:val="L1 Char"/>
    <w:link w:val="ListParagraph"/>
    <w:uiPriority w:val="34"/>
    <w:locked/>
    <w:rsid w:val="00BD382D"/>
  </w:style>
  <w:style w:type="character" w:styleId="CommentReference">
    <w:name w:val="annotation reference"/>
    <w:basedOn w:val="DefaultParagraphFont"/>
    <w:uiPriority w:val="99"/>
    <w:semiHidden/>
    <w:unhideWhenUsed/>
    <w:rsid w:val="007B2553"/>
    <w:rPr>
      <w:sz w:val="16"/>
      <w:szCs w:val="16"/>
    </w:rPr>
  </w:style>
  <w:style w:type="paragraph" w:styleId="CommentText">
    <w:name w:val="annotation text"/>
    <w:basedOn w:val="Normal"/>
    <w:link w:val="CommentTextChar"/>
    <w:uiPriority w:val="99"/>
    <w:unhideWhenUsed/>
    <w:rsid w:val="007B2553"/>
    <w:pPr>
      <w:spacing w:line="240" w:lineRule="auto"/>
    </w:pPr>
    <w:rPr>
      <w:sz w:val="20"/>
      <w:szCs w:val="20"/>
    </w:rPr>
  </w:style>
  <w:style w:type="character" w:customStyle="1" w:styleId="CommentTextChar">
    <w:name w:val="Comment Text Char"/>
    <w:basedOn w:val="DefaultParagraphFont"/>
    <w:link w:val="CommentText"/>
    <w:uiPriority w:val="99"/>
    <w:rsid w:val="007B2553"/>
    <w:rPr>
      <w:sz w:val="20"/>
      <w:szCs w:val="20"/>
    </w:rPr>
  </w:style>
  <w:style w:type="paragraph" w:styleId="CommentSubject">
    <w:name w:val="annotation subject"/>
    <w:basedOn w:val="CommentText"/>
    <w:next w:val="CommentText"/>
    <w:link w:val="CommentSubjectChar"/>
    <w:uiPriority w:val="99"/>
    <w:semiHidden/>
    <w:unhideWhenUsed/>
    <w:rsid w:val="007B2553"/>
    <w:rPr>
      <w:b/>
      <w:bCs/>
    </w:rPr>
  </w:style>
  <w:style w:type="character" w:customStyle="1" w:styleId="CommentSubjectChar">
    <w:name w:val="Comment Subject Char"/>
    <w:basedOn w:val="CommentTextChar"/>
    <w:link w:val="CommentSubject"/>
    <w:uiPriority w:val="99"/>
    <w:semiHidden/>
    <w:rsid w:val="007B25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949935">
      <w:bodyDiv w:val="1"/>
      <w:marLeft w:val="0"/>
      <w:marRight w:val="0"/>
      <w:marTop w:val="0"/>
      <w:marBottom w:val="0"/>
      <w:divBdr>
        <w:top w:val="none" w:sz="0" w:space="0" w:color="auto"/>
        <w:left w:val="none" w:sz="0" w:space="0" w:color="auto"/>
        <w:bottom w:val="none" w:sz="0" w:space="0" w:color="auto"/>
        <w:right w:val="none" w:sz="0" w:space="0" w:color="auto"/>
      </w:divBdr>
      <w:divsChild>
        <w:div w:id="426078680">
          <w:marLeft w:val="0"/>
          <w:marRight w:val="0"/>
          <w:marTop w:val="0"/>
          <w:marBottom w:val="0"/>
          <w:divBdr>
            <w:top w:val="none" w:sz="0" w:space="0" w:color="auto"/>
            <w:left w:val="none" w:sz="0" w:space="0" w:color="auto"/>
            <w:bottom w:val="none" w:sz="0" w:space="0" w:color="auto"/>
            <w:right w:val="none" w:sz="0" w:space="0" w:color="auto"/>
          </w:divBdr>
          <w:divsChild>
            <w:div w:id="287010436">
              <w:marLeft w:val="0"/>
              <w:marRight w:val="0"/>
              <w:marTop w:val="0"/>
              <w:marBottom w:val="0"/>
              <w:divBdr>
                <w:top w:val="none" w:sz="0" w:space="0" w:color="auto"/>
                <w:left w:val="none" w:sz="0" w:space="0" w:color="auto"/>
                <w:bottom w:val="none" w:sz="0" w:space="0" w:color="auto"/>
                <w:right w:val="none" w:sz="0" w:space="0" w:color="auto"/>
              </w:divBdr>
            </w:div>
            <w:div w:id="299772708">
              <w:marLeft w:val="0"/>
              <w:marRight w:val="0"/>
              <w:marTop w:val="0"/>
              <w:marBottom w:val="0"/>
              <w:divBdr>
                <w:top w:val="none" w:sz="0" w:space="0" w:color="auto"/>
                <w:left w:val="none" w:sz="0" w:space="0" w:color="auto"/>
                <w:bottom w:val="none" w:sz="0" w:space="0" w:color="auto"/>
                <w:right w:val="none" w:sz="0" w:space="0" w:color="auto"/>
              </w:divBdr>
            </w:div>
            <w:div w:id="320232197">
              <w:marLeft w:val="0"/>
              <w:marRight w:val="0"/>
              <w:marTop w:val="0"/>
              <w:marBottom w:val="0"/>
              <w:divBdr>
                <w:top w:val="none" w:sz="0" w:space="0" w:color="auto"/>
                <w:left w:val="none" w:sz="0" w:space="0" w:color="auto"/>
                <w:bottom w:val="none" w:sz="0" w:space="0" w:color="auto"/>
                <w:right w:val="none" w:sz="0" w:space="0" w:color="auto"/>
              </w:divBdr>
            </w:div>
            <w:div w:id="566646948">
              <w:marLeft w:val="0"/>
              <w:marRight w:val="0"/>
              <w:marTop w:val="0"/>
              <w:marBottom w:val="0"/>
              <w:divBdr>
                <w:top w:val="none" w:sz="0" w:space="0" w:color="auto"/>
                <w:left w:val="none" w:sz="0" w:space="0" w:color="auto"/>
                <w:bottom w:val="none" w:sz="0" w:space="0" w:color="auto"/>
                <w:right w:val="none" w:sz="0" w:space="0" w:color="auto"/>
              </w:divBdr>
            </w:div>
            <w:div w:id="571353463">
              <w:marLeft w:val="0"/>
              <w:marRight w:val="0"/>
              <w:marTop w:val="0"/>
              <w:marBottom w:val="0"/>
              <w:divBdr>
                <w:top w:val="none" w:sz="0" w:space="0" w:color="auto"/>
                <w:left w:val="none" w:sz="0" w:space="0" w:color="auto"/>
                <w:bottom w:val="none" w:sz="0" w:space="0" w:color="auto"/>
                <w:right w:val="none" w:sz="0" w:space="0" w:color="auto"/>
              </w:divBdr>
            </w:div>
            <w:div w:id="751972641">
              <w:marLeft w:val="0"/>
              <w:marRight w:val="0"/>
              <w:marTop w:val="0"/>
              <w:marBottom w:val="0"/>
              <w:divBdr>
                <w:top w:val="none" w:sz="0" w:space="0" w:color="auto"/>
                <w:left w:val="none" w:sz="0" w:space="0" w:color="auto"/>
                <w:bottom w:val="none" w:sz="0" w:space="0" w:color="auto"/>
                <w:right w:val="none" w:sz="0" w:space="0" w:color="auto"/>
              </w:divBdr>
            </w:div>
            <w:div w:id="772239897">
              <w:marLeft w:val="0"/>
              <w:marRight w:val="0"/>
              <w:marTop w:val="0"/>
              <w:marBottom w:val="0"/>
              <w:divBdr>
                <w:top w:val="none" w:sz="0" w:space="0" w:color="auto"/>
                <w:left w:val="none" w:sz="0" w:space="0" w:color="auto"/>
                <w:bottom w:val="none" w:sz="0" w:space="0" w:color="auto"/>
                <w:right w:val="none" w:sz="0" w:space="0" w:color="auto"/>
              </w:divBdr>
            </w:div>
            <w:div w:id="973489003">
              <w:marLeft w:val="0"/>
              <w:marRight w:val="0"/>
              <w:marTop w:val="0"/>
              <w:marBottom w:val="0"/>
              <w:divBdr>
                <w:top w:val="none" w:sz="0" w:space="0" w:color="auto"/>
                <w:left w:val="none" w:sz="0" w:space="0" w:color="auto"/>
                <w:bottom w:val="none" w:sz="0" w:space="0" w:color="auto"/>
                <w:right w:val="none" w:sz="0" w:space="0" w:color="auto"/>
              </w:divBdr>
            </w:div>
            <w:div w:id="1127164268">
              <w:marLeft w:val="0"/>
              <w:marRight w:val="0"/>
              <w:marTop w:val="0"/>
              <w:marBottom w:val="0"/>
              <w:divBdr>
                <w:top w:val="none" w:sz="0" w:space="0" w:color="auto"/>
                <w:left w:val="none" w:sz="0" w:space="0" w:color="auto"/>
                <w:bottom w:val="none" w:sz="0" w:space="0" w:color="auto"/>
                <w:right w:val="none" w:sz="0" w:space="0" w:color="auto"/>
              </w:divBdr>
            </w:div>
            <w:div w:id="1286502987">
              <w:marLeft w:val="0"/>
              <w:marRight w:val="0"/>
              <w:marTop w:val="0"/>
              <w:marBottom w:val="0"/>
              <w:divBdr>
                <w:top w:val="none" w:sz="0" w:space="0" w:color="auto"/>
                <w:left w:val="none" w:sz="0" w:space="0" w:color="auto"/>
                <w:bottom w:val="none" w:sz="0" w:space="0" w:color="auto"/>
                <w:right w:val="none" w:sz="0" w:space="0" w:color="auto"/>
              </w:divBdr>
            </w:div>
            <w:div w:id="1595938177">
              <w:marLeft w:val="0"/>
              <w:marRight w:val="0"/>
              <w:marTop w:val="0"/>
              <w:marBottom w:val="0"/>
              <w:divBdr>
                <w:top w:val="none" w:sz="0" w:space="0" w:color="auto"/>
                <w:left w:val="none" w:sz="0" w:space="0" w:color="auto"/>
                <w:bottom w:val="none" w:sz="0" w:space="0" w:color="auto"/>
                <w:right w:val="none" w:sz="0" w:space="0" w:color="auto"/>
              </w:divBdr>
            </w:div>
            <w:div w:id="1690526262">
              <w:marLeft w:val="0"/>
              <w:marRight w:val="0"/>
              <w:marTop w:val="0"/>
              <w:marBottom w:val="0"/>
              <w:divBdr>
                <w:top w:val="none" w:sz="0" w:space="0" w:color="auto"/>
                <w:left w:val="none" w:sz="0" w:space="0" w:color="auto"/>
                <w:bottom w:val="none" w:sz="0" w:space="0" w:color="auto"/>
                <w:right w:val="none" w:sz="0" w:space="0" w:color="auto"/>
              </w:divBdr>
            </w:div>
            <w:div w:id="1713113443">
              <w:marLeft w:val="0"/>
              <w:marRight w:val="0"/>
              <w:marTop w:val="0"/>
              <w:marBottom w:val="0"/>
              <w:divBdr>
                <w:top w:val="none" w:sz="0" w:space="0" w:color="auto"/>
                <w:left w:val="none" w:sz="0" w:space="0" w:color="auto"/>
                <w:bottom w:val="none" w:sz="0" w:space="0" w:color="auto"/>
                <w:right w:val="none" w:sz="0" w:space="0" w:color="auto"/>
              </w:divBdr>
            </w:div>
            <w:div w:id="1811825544">
              <w:marLeft w:val="0"/>
              <w:marRight w:val="0"/>
              <w:marTop w:val="0"/>
              <w:marBottom w:val="0"/>
              <w:divBdr>
                <w:top w:val="none" w:sz="0" w:space="0" w:color="auto"/>
                <w:left w:val="none" w:sz="0" w:space="0" w:color="auto"/>
                <w:bottom w:val="none" w:sz="0" w:space="0" w:color="auto"/>
                <w:right w:val="none" w:sz="0" w:space="0" w:color="auto"/>
              </w:divBdr>
            </w:div>
          </w:divsChild>
        </w:div>
        <w:div w:id="463885008">
          <w:marLeft w:val="0"/>
          <w:marRight w:val="0"/>
          <w:marTop w:val="0"/>
          <w:marBottom w:val="0"/>
          <w:divBdr>
            <w:top w:val="none" w:sz="0" w:space="0" w:color="auto"/>
            <w:left w:val="none" w:sz="0" w:space="0" w:color="auto"/>
            <w:bottom w:val="none" w:sz="0" w:space="0" w:color="auto"/>
            <w:right w:val="none" w:sz="0" w:space="0" w:color="auto"/>
          </w:divBdr>
          <w:divsChild>
            <w:div w:id="394683">
              <w:marLeft w:val="0"/>
              <w:marRight w:val="0"/>
              <w:marTop w:val="0"/>
              <w:marBottom w:val="0"/>
              <w:divBdr>
                <w:top w:val="none" w:sz="0" w:space="0" w:color="auto"/>
                <w:left w:val="none" w:sz="0" w:space="0" w:color="auto"/>
                <w:bottom w:val="none" w:sz="0" w:space="0" w:color="auto"/>
                <w:right w:val="none" w:sz="0" w:space="0" w:color="auto"/>
              </w:divBdr>
            </w:div>
            <w:div w:id="128978126">
              <w:marLeft w:val="0"/>
              <w:marRight w:val="0"/>
              <w:marTop w:val="0"/>
              <w:marBottom w:val="0"/>
              <w:divBdr>
                <w:top w:val="none" w:sz="0" w:space="0" w:color="auto"/>
                <w:left w:val="none" w:sz="0" w:space="0" w:color="auto"/>
                <w:bottom w:val="none" w:sz="0" w:space="0" w:color="auto"/>
                <w:right w:val="none" w:sz="0" w:space="0" w:color="auto"/>
              </w:divBdr>
            </w:div>
            <w:div w:id="320428080">
              <w:marLeft w:val="0"/>
              <w:marRight w:val="0"/>
              <w:marTop w:val="0"/>
              <w:marBottom w:val="0"/>
              <w:divBdr>
                <w:top w:val="none" w:sz="0" w:space="0" w:color="auto"/>
                <w:left w:val="none" w:sz="0" w:space="0" w:color="auto"/>
                <w:bottom w:val="none" w:sz="0" w:space="0" w:color="auto"/>
                <w:right w:val="none" w:sz="0" w:space="0" w:color="auto"/>
              </w:divBdr>
            </w:div>
            <w:div w:id="417217457">
              <w:marLeft w:val="0"/>
              <w:marRight w:val="0"/>
              <w:marTop w:val="0"/>
              <w:marBottom w:val="0"/>
              <w:divBdr>
                <w:top w:val="none" w:sz="0" w:space="0" w:color="auto"/>
                <w:left w:val="none" w:sz="0" w:space="0" w:color="auto"/>
                <w:bottom w:val="none" w:sz="0" w:space="0" w:color="auto"/>
                <w:right w:val="none" w:sz="0" w:space="0" w:color="auto"/>
              </w:divBdr>
            </w:div>
            <w:div w:id="446505391">
              <w:marLeft w:val="0"/>
              <w:marRight w:val="0"/>
              <w:marTop w:val="0"/>
              <w:marBottom w:val="0"/>
              <w:divBdr>
                <w:top w:val="none" w:sz="0" w:space="0" w:color="auto"/>
                <w:left w:val="none" w:sz="0" w:space="0" w:color="auto"/>
                <w:bottom w:val="none" w:sz="0" w:space="0" w:color="auto"/>
                <w:right w:val="none" w:sz="0" w:space="0" w:color="auto"/>
              </w:divBdr>
            </w:div>
            <w:div w:id="524369289">
              <w:marLeft w:val="0"/>
              <w:marRight w:val="0"/>
              <w:marTop w:val="0"/>
              <w:marBottom w:val="0"/>
              <w:divBdr>
                <w:top w:val="none" w:sz="0" w:space="0" w:color="auto"/>
                <w:left w:val="none" w:sz="0" w:space="0" w:color="auto"/>
                <w:bottom w:val="none" w:sz="0" w:space="0" w:color="auto"/>
                <w:right w:val="none" w:sz="0" w:space="0" w:color="auto"/>
              </w:divBdr>
            </w:div>
            <w:div w:id="590434395">
              <w:marLeft w:val="0"/>
              <w:marRight w:val="0"/>
              <w:marTop w:val="0"/>
              <w:marBottom w:val="0"/>
              <w:divBdr>
                <w:top w:val="none" w:sz="0" w:space="0" w:color="auto"/>
                <w:left w:val="none" w:sz="0" w:space="0" w:color="auto"/>
                <w:bottom w:val="none" w:sz="0" w:space="0" w:color="auto"/>
                <w:right w:val="none" w:sz="0" w:space="0" w:color="auto"/>
              </w:divBdr>
            </w:div>
            <w:div w:id="808011802">
              <w:marLeft w:val="0"/>
              <w:marRight w:val="0"/>
              <w:marTop w:val="0"/>
              <w:marBottom w:val="0"/>
              <w:divBdr>
                <w:top w:val="none" w:sz="0" w:space="0" w:color="auto"/>
                <w:left w:val="none" w:sz="0" w:space="0" w:color="auto"/>
                <w:bottom w:val="none" w:sz="0" w:space="0" w:color="auto"/>
                <w:right w:val="none" w:sz="0" w:space="0" w:color="auto"/>
              </w:divBdr>
            </w:div>
            <w:div w:id="867327695">
              <w:marLeft w:val="0"/>
              <w:marRight w:val="0"/>
              <w:marTop w:val="0"/>
              <w:marBottom w:val="0"/>
              <w:divBdr>
                <w:top w:val="none" w:sz="0" w:space="0" w:color="auto"/>
                <w:left w:val="none" w:sz="0" w:space="0" w:color="auto"/>
                <w:bottom w:val="none" w:sz="0" w:space="0" w:color="auto"/>
                <w:right w:val="none" w:sz="0" w:space="0" w:color="auto"/>
              </w:divBdr>
            </w:div>
            <w:div w:id="968632148">
              <w:marLeft w:val="0"/>
              <w:marRight w:val="0"/>
              <w:marTop w:val="0"/>
              <w:marBottom w:val="0"/>
              <w:divBdr>
                <w:top w:val="none" w:sz="0" w:space="0" w:color="auto"/>
                <w:left w:val="none" w:sz="0" w:space="0" w:color="auto"/>
                <w:bottom w:val="none" w:sz="0" w:space="0" w:color="auto"/>
                <w:right w:val="none" w:sz="0" w:space="0" w:color="auto"/>
              </w:divBdr>
            </w:div>
            <w:div w:id="1078358979">
              <w:marLeft w:val="0"/>
              <w:marRight w:val="0"/>
              <w:marTop w:val="0"/>
              <w:marBottom w:val="0"/>
              <w:divBdr>
                <w:top w:val="none" w:sz="0" w:space="0" w:color="auto"/>
                <w:left w:val="none" w:sz="0" w:space="0" w:color="auto"/>
                <w:bottom w:val="none" w:sz="0" w:space="0" w:color="auto"/>
                <w:right w:val="none" w:sz="0" w:space="0" w:color="auto"/>
              </w:divBdr>
            </w:div>
            <w:div w:id="1101147570">
              <w:marLeft w:val="0"/>
              <w:marRight w:val="0"/>
              <w:marTop w:val="0"/>
              <w:marBottom w:val="0"/>
              <w:divBdr>
                <w:top w:val="none" w:sz="0" w:space="0" w:color="auto"/>
                <w:left w:val="none" w:sz="0" w:space="0" w:color="auto"/>
                <w:bottom w:val="none" w:sz="0" w:space="0" w:color="auto"/>
                <w:right w:val="none" w:sz="0" w:space="0" w:color="auto"/>
              </w:divBdr>
            </w:div>
            <w:div w:id="1201433710">
              <w:marLeft w:val="0"/>
              <w:marRight w:val="0"/>
              <w:marTop w:val="0"/>
              <w:marBottom w:val="0"/>
              <w:divBdr>
                <w:top w:val="none" w:sz="0" w:space="0" w:color="auto"/>
                <w:left w:val="none" w:sz="0" w:space="0" w:color="auto"/>
                <w:bottom w:val="none" w:sz="0" w:space="0" w:color="auto"/>
                <w:right w:val="none" w:sz="0" w:space="0" w:color="auto"/>
              </w:divBdr>
            </w:div>
            <w:div w:id="1301302748">
              <w:marLeft w:val="0"/>
              <w:marRight w:val="0"/>
              <w:marTop w:val="0"/>
              <w:marBottom w:val="0"/>
              <w:divBdr>
                <w:top w:val="none" w:sz="0" w:space="0" w:color="auto"/>
                <w:left w:val="none" w:sz="0" w:space="0" w:color="auto"/>
                <w:bottom w:val="none" w:sz="0" w:space="0" w:color="auto"/>
                <w:right w:val="none" w:sz="0" w:space="0" w:color="auto"/>
              </w:divBdr>
            </w:div>
            <w:div w:id="1340306061">
              <w:marLeft w:val="0"/>
              <w:marRight w:val="0"/>
              <w:marTop w:val="0"/>
              <w:marBottom w:val="0"/>
              <w:divBdr>
                <w:top w:val="none" w:sz="0" w:space="0" w:color="auto"/>
                <w:left w:val="none" w:sz="0" w:space="0" w:color="auto"/>
                <w:bottom w:val="none" w:sz="0" w:space="0" w:color="auto"/>
                <w:right w:val="none" w:sz="0" w:space="0" w:color="auto"/>
              </w:divBdr>
            </w:div>
            <w:div w:id="1602294518">
              <w:marLeft w:val="0"/>
              <w:marRight w:val="0"/>
              <w:marTop w:val="0"/>
              <w:marBottom w:val="0"/>
              <w:divBdr>
                <w:top w:val="none" w:sz="0" w:space="0" w:color="auto"/>
                <w:left w:val="none" w:sz="0" w:space="0" w:color="auto"/>
                <w:bottom w:val="none" w:sz="0" w:space="0" w:color="auto"/>
                <w:right w:val="none" w:sz="0" w:space="0" w:color="auto"/>
              </w:divBdr>
            </w:div>
            <w:div w:id="1700161081">
              <w:marLeft w:val="0"/>
              <w:marRight w:val="0"/>
              <w:marTop w:val="0"/>
              <w:marBottom w:val="0"/>
              <w:divBdr>
                <w:top w:val="none" w:sz="0" w:space="0" w:color="auto"/>
                <w:left w:val="none" w:sz="0" w:space="0" w:color="auto"/>
                <w:bottom w:val="none" w:sz="0" w:space="0" w:color="auto"/>
                <w:right w:val="none" w:sz="0" w:space="0" w:color="auto"/>
              </w:divBdr>
            </w:div>
            <w:div w:id="2006855188">
              <w:marLeft w:val="0"/>
              <w:marRight w:val="0"/>
              <w:marTop w:val="0"/>
              <w:marBottom w:val="0"/>
              <w:divBdr>
                <w:top w:val="none" w:sz="0" w:space="0" w:color="auto"/>
                <w:left w:val="none" w:sz="0" w:space="0" w:color="auto"/>
                <w:bottom w:val="none" w:sz="0" w:space="0" w:color="auto"/>
                <w:right w:val="none" w:sz="0" w:space="0" w:color="auto"/>
              </w:divBdr>
            </w:div>
            <w:div w:id="2100441516">
              <w:marLeft w:val="0"/>
              <w:marRight w:val="0"/>
              <w:marTop w:val="0"/>
              <w:marBottom w:val="0"/>
              <w:divBdr>
                <w:top w:val="none" w:sz="0" w:space="0" w:color="auto"/>
                <w:left w:val="none" w:sz="0" w:space="0" w:color="auto"/>
                <w:bottom w:val="none" w:sz="0" w:space="0" w:color="auto"/>
                <w:right w:val="none" w:sz="0" w:space="0" w:color="auto"/>
              </w:divBdr>
            </w:div>
            <w:div w:id="210279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13112">
      <w:bodyDiv w:val="1"/>
      <w:marLeft w:val="0"/>
      <w:marRight w:val="0"/>
      <w:marTop w:val="0"/>
      <w:marBottom w:val="0"/>
      <w:divBdr>
        <w:top w:val="none" w:sz="0" w:space="0" w:color="auto"/>
        <w:left w:val="none" w:sz="0" w:space="0" w:color="auto"/>
        <w:bottom w:val="none" w:sz="0" w:space="0" w:color="auto"/>
        <w:right w:val="none" w:sz="0" w:space="0" w:color="auto"/>
      </w:divBdr>
    </w:div>
    <w:div w:id="500046074">
      <w:bodyDiv w:val="1"/>
      <w:marLeft w:val="0"/>
      <w:marRight w:val="0"/>
      <w:marTop w:val="0"/>
      <w:marBottom w:val="0"/>
      <w:divBdr>
        <w:top w:val="none" w:sz="0" w:space="0" w:color="auto"/>
        <w:left w:val="none" w:sz="0" w:space="0" w:color="auto"/>
        <w:bottom w:val="none" w:sz="0" w:space="0" w:color="auto"/>
        <w:right w:val="none" w:sz="0" w:space="0" w:color="auto"/>
      </w:divBdr>
    </w:div>
    <w:div w:id="504514591">
      <w:bodyDiv w:val="1"/>
      <w:marLeft w:val="0"/>
      <w:marRight w:val="0"/>
      <w:marTop w:val="0"/>
      <w:marBottom w:val="0"/>
      <w:divBdr>
        <w:top w:val="none" w:sz="0" w:space="0" w:color="auto"/>
        <w:left w:val="none" w:sz="0" w:space="0" w:color="auto"/>
        <w:bottom w:val="none" w:sz="0" w:space="0" w:color="auto"/>
        <w:right w:val="none" w:sz="0" w:space="0" w:color="auto"/>
      </w:divBdr>
    </w:div>
    <w:div w:id="530605646">
      <w:bodyDiv w:val="1"/>
      <w:marLeft w:val="0"/>
      <w:marRight w:val="0"/>
      <w:marTop w:val="0"/>
      <w:marBottom w:val="0"/>
      <w:divBdr>
        <w:top w:val="none" w:sz="0" w:space="0" w:color="auto"/>
        <w:left w:val="none" w:sz="0" w:space="0" w:color="auto"/>
        <w:bottom w:val="none" w:sz="0" w:space="0" w:color="auto"/>
        <w:right w:val="none" w:sz="0" w:space="0" w:color="auto"/>
      </w:divBdr>
    </w:div>
    <w:div w:id="543299585">
      <w:bodyDiv w:val="1"/>
      <w:marLeft w:val="0"/>
      <w:marRight w:val="0"/>
      <w:marTop w:val="0"/>
      <w:marBottom w:val="0"/>
      <w:divBdr>
        <w:top w:val="none" w:sz="0" w:space="0" w:color="auto"/>
        <w:left w:val="none" w:sz="0" w:space="0" w:color="auto"/>
        <w:bottom w:val="none" w:sz="0" w:space="0" w:color="auto"/>
        <w:right w:val="none" w:sz="0" w:space="0" w:color="auto"/>
      </w:divBdr>
    </w:div>
    <w:div w:id="554051459">
      <w:bodyDiv w:val="1"/>
      <w:marLeft w:val="0"/>
      <w:marRight w:val="0"/>
      <w:marTop w:val="0"/>
      <w:marBottom w:val="0"/>
      <w:divBdr>
        <w:top w:val="none" w:sz="0" w:space="0" w:color="auto"/>
        <w:left w:val="none" w:sz="0" w:space="0" w:color="auto"/>
        <w:bottom w:val="none" w:sz="0" w:space="0" w:color="auto"/>
        <w:right w:val="none" w:sz="0" w:space="0" w:color="auto"/>
      </w:divBdr>
    </w:div>
    <w:div w:id="590894534">
      <w:bodyDiv w:val="1"/>
      <w:marLeft w:val="0"/>
      <w:marRight w:val="0"/>
      <w:marTop w:val="0"/>
      <w:marBottom w:val="0"/>
      <w:divBdr>
        <w:top w:val="none" w:sz="0" w:space="0" w:color="auto"/>
        <w:left w:val="none" w:sz="0" w:space="0" w:color="auto"/>
        <w:bottom w:val="none" w:sz="0" w:space="0" w:color="auto"/>
        <w:right w:val="none" w:sz="0" w:space="0" w:color="auto"/>
      </w:divBdr>
    </w:div>
    <w:div w:id="783118854">
      <w:bodyDiv w:val="1"/>
      <w:marLeft w:val="0"/>
      <w:marRight w:val="0"/>
      <w:marTop w:val="0"/>
      <w:marBottom w:val="0"/>
      <w:divBdr>
        <w:top w:val="none" w:sz="0" w:space="0" w:color="auto"/>
        <w:left w:val="none" w:sz="0" w:space="0" w:color="auto"/>
        <w:bottom w:val="none" w:sz="0" w:space="0" w:color="auto"/>
        <w:right w:val="none" w:sz="0" w:space="0" w:color="auto"/>
      </w:divBdr>
    </w:div>
    <w:div w:id="818033138">
      <w:bodyDiv w:val="1"/>
      <w:marLeft w:val="0"/>
      <w:marRight w:val="0"/>
      <w:marTop w:val="0"/>
      <w:marBottom w:val="0"/>
      <w:divBdr>
        <w:top w:val="none" w:sz="0" w:space="0" w:color="auto"/>
        <w:left w:val="none" w:sz="0" w:space="0" w:color="auto"/>
        <w:bottom w:val="none" w:sz="0" w:space="0" w:color="auto"/>
        <w:right w:val="none" w:sz="0" w:space="0" w:color="auto"/>
      </w:divBdr>
    </w:div>
    <w:div w:id="1046223722">
      <w:bodyDiv w:val="1"/>
      <w:marLeft w:val="0"/>
      <w:marRight w:val="0"/>
      <w:marTop w:val="0"/>
      <w:marBottom w:val="0"/>
      <w:divBdr>
        <w:top w:val="none" w:sz="0" w:space="0" w:color="auto"/>
        <w:left w:val="none" w:sz="0" w:space="0" w:color="auto"/>
        <w:bottom w:val="none" w:sz="0" w:space="0" w:color="auto"/>
        <w:right w:val="none" w:sz="0" w:space="0" w:color="auto"/>
      </w:divBdr>
    </w:div>
    <w:div w:id="198091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lcode.delaware.gov/title25/index.html" TargetMode="External"/><Relationship Id="rId18" Type="http://schemas.openxmlformats.org/officeDocument/2006/relationships/hyperlink" Target="https://dhss.delaware.gov/wp-content/uploads/sites/12/dsamh/pdf/DSAMH029_Community_Incident_Reporting.docx.pdf" TargetMode="External"/><Relationship Id="rId26" Type="http://schemas.openxmlformats.org/officeDocument/2006/relationships/hyperlink" Target="mailto:DSAMH_housing@delaware.gov" TargetMode="External"/><Relationship Id="rId3" Type="http://schemas.openxmlformats.org/officeDocument/2006/relationships/customXml" Target="../customXml/item3.xml"/><Relationship Id="rId21" Type="http://schemas.openxmlformats.org/officeDocument/2006/relationships/hyperlink" Target="http://dhss.delaware.gov/dhss/admin/files/PM_70.pdf" TargetMode="External"/><Relationship Id="rId7" Type="http://schemas.openxmlformats.org/officeDocument/2006/relationships/settings" Target="settings.xml"/><Relationship Id="rId12" Type="http://schemas.openxmlformats.org/officeDocument/2006/relationships/hyperlink" Target="https://delcode.delaware.gov/title6/c046/" TargetMode="External"/><Relationship Id="rId17" Type="http://schemas.openxmlformats.org/officeDocument/2006/relationships/hyperlink" Target="https://dhss.delaware.gov/wp-content/uploads/sites/12/2025/08/DSAMH012-Cultural-Diversity-Linguistic-Services-Policy.pdf" TargetMode="External"/><Relationship Id="rId25" Type="http://schemas.openxmlformats.org/officeDocument/2006/relationships/hyperlink" Target="https://www.ecfr.gov/current/title-2/subtitle-A/chapter-II/part-200" TargetMode="External"/><Relationship Id="rId2" Type="http://schemas.openxmlformats.org/officeDocument/2006/relationships/customXml" Target="../customXml/item2.xml"/><Relationship Id="rId16" Type="http://schemas.openxmlformats.org/officeDocument/2006/relationships/hyperlink" Target="https://dhss.delaware.gov/wp-content/uploads/sites/12/2025/08/DSAMH011-Provider-Trauma-Informed-Care-Policy.pdf" TargetMode="External"/><Relationship Id="rId20" Type="http://schemas.openxmlformats.org/officeDocument/2006/relationships/hyperlink" Target="http://www.dhss.delaware.gov/dhss/admin/pm55.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dexchange.info/programs/nspire/" TargetMode="External"/><Relationship Id="rId24" Type="http://schemas.openxmlformats.org/officeDocument/2006/relationships/hyperlink" Target="https://budget.delaware.gov/accounting-manual/index.shtml" TargetMode="External"/><Relationship Id="rId5" Type="http://schemas.openxmlformats.org/officeDocument/2006/relationships/numbering" Target="numbering.xml"/><Relationship Id="rId15" Type="http://schemas.openxmlformats.org/officeDocument/2006/relationships/hyperlink" Target="https://budget.delaware.gov/accounting-manual/index.shtml" TargetMode="External"/><Relationship Id="rId23" Type="http://schemas.openxmlformats.org/officeDocument/2006/relationships/hyperlink" Target="https://budget.delaware.gov/accounting-manual/index.shtm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dhss.delaware.gov/dhss/admin/files/pm4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lcode.delaware.gov/title31/c041/index.html" TargetMode="External"/><Relationship Id="rId22" Type="http://schemas.openxmlformats.org/officeDocument/2006/relationships/hyperlink" Target="https://www.sam.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xpirationDate xmlns="cd61417a-b8d5-453b-b149-621c7f56504b">6.30.2023</ExpirationDate>
    <lcf76f155ced4ddcb4097134ff3c332f xmlns="cd61417a-b8d5-453b-b149-621c7f56504b">
      <Terms xmlns="http://schemas.microsoft.com/office/infopath/2007/PartnerControls"/>
    </lcf76f155ced4ddcb4097134ff3c332f>
    <TaxCatchAll xmlns="008abec5-3bce-43a1-b1b9-cb9516633b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FCFF6CCC560034AB547748E8533A0C9" ma:contentTypeVersion="18" ma:contentTypeDescription="Create a new document." ma:contentTypeScope="" ma:versionID="535b3290dd55a81a6b7b623aee6af9c9">
  <xsd:schema xmlns:xsd="http://www.w3.org/2001/XMLSchema" xmlns:xs="http://www.w3.org/2001/XMLSchema" xmlns:p="http://schemas.microsoft.com/office/2006/metadata/properties" xmlns:ns2="cd61417a-b8d5-453b-b149-621c7f56504b" xmlns:ns3="008abec5-3bce-43a1-b1b9-cb9516633b4e" targetNamespace="http://schemas.microsoft.com/office/2006/metadata/properties" ma:root="true" ma:fieldsID="36834cbb0cd379fb7c08a6bfc50f4e38" ns2:_="" ns3:_="">
    <xsd:import namespace="cd61417a-b8d5-453b-b149-621c7f56504b"/>
    <xsd:import namespace="008abec5-3bce-43a1-b1b9-cb9516633b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Expiration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1417a-b8d5-453b-b149-621c7f5650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ExpirationDate" ma:index="23" nillable="true" ma:displayName="Expiration Date" ma:default="6.30.2023" ma:format="Dropdown" ma:internalName="ExpirationDat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8abec5-3bce-43a1-b1b9-cb9516633b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074051c-885e-4ec9-9dc7-46fb7896770a}" ma:internalName="TaxCatchAll" ma:showField="CatchAllData" ma:web="008abec5-3bce-43a1-b1b9-cb9516633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5C721E-ED01-4907-B13B-7F83656FC061}">
  <ds:schemaRefs>
    <ds:schemaRef ds:uri="http://schemas.microsoft.com/office/2006/metadata/properties"/>
    <ds:schemaRef ds:uri="http://schemas.microsoft.com/office/infopath/2007/PartnerControls"/>
    <ds:schemaRef ds:uri="cd61417a-b8d5-453b-b149-621c7f56504b"/>
    <ds:schemaRef ds:uri="008abec5-3bce-43a1-b1b9-cb9516633b4e"/>
  </ds:schemaRefs>
</ds:datastoreItem>
</file>

<file path=customXml/itemProps2.xml><?xml version="1.0" encoding="utf-8"?>
<ds:datastoreItem xmlns:ds="http://schemas.openxmlformats.org/officeDocument/2006/customXml" ds:itemID="{4A927E70-E391-464F-A379-FBB50CD1E288}">
  <ds:schemaRefs>
    <ds:schemaRef ds:uri="http://schemas.microsoft.com/sharepoint/v3/contenttype/forms"/>
  </ds:schemaRefs>
</ds:datastoreItem>
</file>

<file path=customXml/itemProps3.xml><?xml version="1.0" encoding="utf-8"?>
<ds:datastoreItem xmlns:ds="http://schemas.openxmlformats.org/officeDocument/2006/customXml" ds:itemID="{99E5E499-4B30-47B7-9405-B395F91655D2}">
  <ds:schemaRefs>
    <ds:schemaRef ds:uri="http://schemas.openxmlformats.org/officeDocument/2006/bibliography"/>
  </ds:schemaRefs>
</ds:datastoreItem>
</file>

<file path=customXml/itemProps4.xml><?xml version="1.0" encoding="utf-8"?>
<ds:datastoreItem xmlns:ds="http://schemas.openxmlformats.org/officeDocument/2006/customXml" ds:itemID="{6C7CE122-9824-4AA3-87AF-2DAA0CD3F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1417a-b8d5-453b-b149-621c7f56504b"/>
    <ds:schemaRef ds:uri="008abec5-3bce-43a1-b1b9-cb9516633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2594</TotalTime>
  <Pages>15</Pages>
  <Words>6528</Words>
  <Characters>37216</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43657</CharactersWithSpaces>
  <SharedDoc>false</SharedDoc>
  <HLinks>
    <vt:vector size="96" baseType="variant">
      <vt:variant>
        <vt:i4>5242974</vt:i4>
      </vt:variant>
      <vt:variant>
        <vt:i4>45</vt:i4>
      </vt:variant>
      <vt:variant>
        <vt:i4>0</vt:i4>
      </vt:variant>
      <vt:variant>
        <vt:i4>5</vt:i4>
      </vt:variant>
      <vt:variant>
        <vt:lpwstr>mailto:DSAMH_housing@delaware.gov</vt:lpwstr>
      </vt:variant>
      <vt:variant>
        <vt:lpwstr/>
      </vt:variant>
      <vt:variant>
        <vt:i4>3080312</vt:i4>
      </vt:variant>
      <vt:variant>
        <vt:i4>42</vt:i4>
      </vt:variant>
      <vt:variant>
        <vt:i4>0</vt:i4>
      </vt:variant>
      <vt:variant>
        <vt:i4>5</vt:i4>
      </vt:variant>
      <vt:variant>
        <vt:lpwstr>https://www.ecfr.gov/current/title-2/subtitle-A/chapter-II/part-200</vt:lpwstr>
      </vt:variant>
      <vt:variant>
        <vt:lpwstr/>
      </vt:variant>
      <vt:variant>
        <vt:i4>1376342</vt:i4>
      </vt:variant>
      <vt:variant>
        <vt:i4>39</vt:i4>
      </vt:variant>
      <vt:variant>
        <vt:i4>0</vt:i4>
      </vt:variant>
      <vt:variant>
        <vt:i4>5</vt:i4>
      </vt:variant>
      <vt:variant>
        <vt:lpwstr>https://budget.delaware.gov/accounting-manual/index.shtml</vt:lpwstr>
      </vt:variant>
      <vt:variant>
        <vt:lpwstr/>
      </vt:variant>
      <vt:variant>
        <vt:i4>1376342</vt:i4>
      </vt:variant>
      <vt:variant>
        <vt:i4>36</vt:i4>
      </vt:variant>
      <vt:variant>
        <vt:i4>0</vt:i4>
      </vt:variant>
      <vt:variant>
        <vt:i4>5</vt:i4>
      </vt:variant>
      <vt:variant>
        <vt:lpwstr>https://budget.delaware.gov/accounting-manual/index.shtml</vt:lpwstr>
      </vt:variant>
      <vt:variant>
        <vt:lpwstr/>
      </vt:variant>
      <vt:variant>
        <vt:i4>4653135</vt:i4>
      </vt:variant>
      <vt:variant>
        <vt:i4>33</vt:i4>
      </vt:variant>
      <vt:variant>
        <vt:i4>0</vt:i4>
      </vt:variant>
      <vt:variant>
        <vt:i4>5</vt:i4>
      </vt:variant>
      <vt:variant>
        <vt:lpwstr>https://www.sam.gov/</vt:lpwstr>
      </vt:variant>
      <vt:variant>
        <vt:lpwstr/>
      </vt:variant>
      <vt:variant>
        <vt:i4>2752542</vt:i4>
      </vt:variant>
      <vt:variant>
        <vt:i4>30</vt:i4>
      </vt:variant>
      <vt:variant>
        <vt:i4>0</vt:i4>
      </vt:variant>
      <vt:variant>
        <vt:i4>5</vt:i4>
      </vt:variant>
      <vt:variant>
        <vt:lpwstr>http://dhss.delaware.gov/dhss/admin/files/PM_70.pdf</vt:lpwstr>
      </vt:variant>
      <vt:variant>
        <vt:lpwstr/>
      </vt:variant>
      <vt:variant>
        <vt:i4>4456526</vt:i4>
      </vt:variant>
      <vt:variant>
        <vt:i4>27</vt:i4>
      </vt:variant>
      <vt:variant>
        <vt:i4>0</vt:i4>
      </vt:variant>
      <vt:variant>
        <vt:i4>5</vt:i4>
      </vt:variant>
      <vt:variant>
        <vt:lpwstr>http://www.dhss.delaware.gov/dhss/admin/pm55.html</vt:lpwstr>
      </vt:variant>
      <vt:variant>
        <vt:lpwstr/>
      </vt:variant>
      <vt:variant>
        <vt:i4>7405606</vt:i4>
      </vt:variant>
      <vt:variant>
        <vt:i4>24</vt:i4>
      </vt:variant>
      <vt:variant>
        <vt:i4>0</vt:i4>
      </vt:variant>
      <vt:variant>
        <vt:i4>5</vt:i4>
      </vt:variant>
      <vt:variant>
        <vt:lpwstr>http://www.dhss.delaware.gov/dhss/admin/files/pm40.pdf</vt:lpwstr>
      </vt:variant>
      <vt:variant>
        <vt:lpwstr/>
      </vt:variant>
      <vt:variant>
        <vt:i4>131124</vt:i4>
      </vt:variant>
      <vt:variant>
        <vt:i4>21</vt:i4>
      </vt:variant>
      <vt:variant>
        <vt:i4>0</vt:i4>
      </vt:variant>
      <vt:variant>
        <vt:i4>5</vt:i4>
      </vt:variant>
      <vt:variant>
        <vt:lpwstr>https://dhss.delaware.gov/wp-content/uploads/sites/12/dsamh/pdf/DSAMH029_Community_Incident_Reporting.docx.pdf</vt:lpwstr>
      </vt:variant>
      <vt:variant>
        <vt:lpwstr/>
      </vt:variant>
      <vt:variant>
        <vt:i4>4915282</vt:i4>
      </vt:variant>
      <vt:variant>
        <vt:i4>18</vt:i4>
      </vt:variant>
      <vt:variant>
        <vt:i4>0</vt:i4>
      </vt:variant>
      <vt:variant>
        <vt:i4>5</vt:i4>
      </vt:variant>
      <vt:variant>
        <vt:lpwstr>https://dhss.delaware.gov/wp-content/uploads/sites/12/2025/08/DSAMH012-Cultural-Diversity-Linguistic-Services-Policy.pdf</vt:lpwstr>
      </vt:variant>
      <vt:variant>
        <vt:lpwstr/>
      </vt:variant>
      <vt:variant>
        <vt:i4>3997751</vt:i4>
      </vt:variant>
      <vt:variant>
        <vt:i4>15</vt:i4>
      </vt:variant>
      <vt:variant>
        <vt:i4>0</vt:i4>
      </vt:variant>
      <vt:variant>
        <vt:i4>5</vt:i4>
      </vt:variant>
      <vt:variant>
        <vt:lpwstr>https://dhss.delaware.gov/wp-content/uploads/sites/12/2025/08/DSAMH011-Provider-Trauma-Informed-Care-Policy.pdf</vt:lpwstr>
      </vt:variant>
      <vt:variant>
        <vt:lpwstr/>
      </vt:variant>
      <vt:variant>
        <vt:i4>1376342</vt:i4>
      </vt:variant>
      <vt:variant>
        <vt:i4>12</vt:i4>
      </vt:variant>
      <vt:variant>
        <vt:i4>0</vt:i4>
      </vt:variant>
      <vt:variant>
        <vt:i4>5</vt:i4>
      </vt:variant>
      <vt:variant>
        <vt:lpwstr>https://budget.delaware.gov/accounting-manual/index.shtml</vt:lpwstr>
      </vt:variant>
      <vt:variant>
        <vt:lpwstr/>
      </vt:variant>
      <vt:variant>
        <vt:i4>6094921</vt:i4>
      </vt:variant>
      <vt:variant>
        <vt:i4>9</vt:i4>
      </vt:variant>
      <vt:variant>
        <vt:i4>0</vt:i4>
      </vt:variant>
      <vt:variant>
        <vt:i4>5</vt:i4>
      </vt:variant>
      <vt:variant>
        <vt:lpwstr>https://delcode.delaware.gov/title31/c041/index.html</vt:lpwstr>
      </vt:variant>
      <vt:variant>
        <vt:lpwstr/>
      </vt:variant>
      <vt:variant>
        <vt:i4>7077992</vt:i4>
      </vt:variant>
      <vt:variant>
        <vt:i4>6</vt:i4>
      </vt:variant>
      <vt:variant>
        <vt:i4>0</vt:i4>
      </vt:variant>
      <vt:variant>
        <vt:i4>5</vt:i4>
      </vt:variant>
      <vt:variant>
        <vt:lpwstr>https://delcode.delaware.gov/title25/index.html</vt:lpwstr>
      </vt:variant>
      <vt:variant>
        <vt:lpwstr/>
      </vt:variant>
      <vt:variant>
        <vt:i4>69</vt:i4>
      </vt:variant>
      <vt:variant>
        <vt:i4>3</vt:i4>
      </vt:variant>
      <vt:variant>
        <vt:i4>0</vt:i4>
      </vt:variant>
      <vt:variant>
        <vt:i4>5</vt:i4>
      </vt:variant>
      <vt:variant>
        <vt:lpwstr>https://delcode.delaware.gov/title6/c046/</vt:lpwstr>
      </vt:variant>
      <vt:variant>
        <vt:lpwstr/>
      </vt:variant>
      <vt:variant>
        <vt:i4>4325404</vt:i4>
      </vt:variant>
      <vt:variant>
        <vt:i4>0</vt:i4>
      </vt:variant>
      <vt:variant>
        <vt:i4>0</vt:i4>
      </vt:variant>
      <vt:variant>
        <vt:i4>5</vt:i4>
      </vt:variant>
      <vt:variant>
        <vt:lpwstr>https://www.hudexchange.info/programs/nspire/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Records</dc:creator>
  <cp:keywords/>
  <dc:description/>
  <cp:lastModifiedBy>Records, Karen (DHSS)</cp:lastModifiedBy>
  <cp:revision>457</cp:revision>
  <dcterms:created xsi:type="dcterms:W3CDTF">2025-10-23T06:31:00Z</dcterms:created>
  <dcterms:modified xsi:type="dcterms:W3CDTF">2025-11-24T22:04:00Z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0x010100DFCFF6CCC560034AB547748E8533A0C9</vt:lpwstr>
  </property>
  <property fmtid="{D5CDD505-2E9C-101B-9397-08002B2CF9AE}" pid="3" name="MediaServiceImageTags">
    <vt:lpwstr/>
  </property>
</Properties>
</file>