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415F" w14:textId="1A6A0C25" w:rsidR="00082350" w:rsidRPr="00C80AC7" w:rsidRDefault="002E4C2F" w:rsidP="00082350">
      <w:pPr>
        <w:jc w:val="center"/>
        <w:rPr>
          <w:b/>
          <w:sz w:val="28"/>
          <w:szCs w:val="28"/>
        </w:rPr>
      </w:pPr>
      <w:bookmarkStart w:id="0" w:name="_Ref14161970"/>
      <w:bookmarkStart w:id="1" w:name="_Ref115754368"/>
      <w:bookmarkStart w:id="2" w:name="_Toc91075290"/>
      <w:bookmarkStart w:id="3" w:name="_Toc92263952"/>
      <w:bookmarkStart w:id="4" w:name="_Toc92264204"/>
      <w:r>
        <w:rPr>
          <w:b/>
          <w:sz w:val="28"/>
          <w:szCs w:val="28"/>
        </w:rPr>
        <w:t>Appendix G</w:t>
      </w:r>
    </w:p>
    <w:p w14:paraId="1882C51D" w14:textId="2C32FDF5" w:rsidR="00082350" w:rsidRDefault="00082350" w:rsidP="00082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Project Cost Proposal</w:t>
      </w:r>
    </w:p>
    <w:p w14:paraId="3B457353" w14:textId="77777777" w:rsidR="00883DD1" w:rsidRDefault="00883DD1" w:rsidP="00082350">
      <w:pPr>
        <w:jc w:val="center"/>
        <w:rPr>
          <w:b/>
          <w:sz w:val="28"/>
          <w:szCs w:val="28"/>
        </w:rPr>
      </w:pPr>
    </w:p>
    <w:bookmarkEnd w:id="0"/>
    <w:bookmarkEnd w:id="1"/>
    <w:p w14:paraId="6FE53712" w14:textId="224C393C" w:rsidR="00867306" w:rsidRDefault="002E4C2F" w:rsidP="007E588F">
      <w:pPr>
        <w:pStyle w:val="Heading3"/>
        <w:numPr>
          <w:ilvl w:val="0"/>
          <w:numId w:val="0"/>
        </w:numPr>
      </w:pPr>
      <w:r>
        <w:t>G</w:t>
      </w:r>
      <w:r w:rsidR="00867306">
        <w:t>1. Firm Fixed Cost</w:t>
      </w:r>
      <w:r w:rsidR="00231B62">
        <w:t xml:space="preserve"> Forms</w:t>
      </w:r>
    </w:p>
    <w:p w14:paraId="3D259104" w14:textId="2A06DC9C" w:rsidR="00867306" w:rsidRPr="00867306" w:rsidRDefault="00867306" w:rsidP="00867306">
      <w:pPr>
        <w:pStyle w:val="BodyTextIndent"/>
      </w:pPr>
      <w:r>
        <w:t xml:space="preserve">The contractor shall complete </w:t>
      </w:r>
      <w:r w:rsidR="00231B62">
        <w:t>sections</w:t>
      </w:r>
      <w:r>
        <w:t xml:space="preserve"> </w:t>
      </w:r>
      <w:r w:rsidR="002E4C2F">
        <w:t>G</w:t>
      </w:r>
      <w:r>
        <w:t xml:space="preserve">1.1 (Project </w:t>
      </w:r>
      <w:r w:rsidR="007E6809">
        <w:t>Lifecycle</w:t>
      </w:r>
      <w:r>
        <w:t xml:space="preserve"> Cost) and </w:t>
      </w:r>
      <w:r w:rsidR="002E4C2F">
        <w:t>G</w:t>
      </w:r>
      <w:r>
        <w:t>1.2 (</w:t>
      </w:r>
      <w:r w:rsidR="00833110">
        <w:t xml:space="preserve">Annual </w:t>
      </w:r>
      <w:r w:rsidR="00712CD7">
        <w:t xml:space="preserve">Operations and </w:t>
      </w:r>
      <w:r w:rsidR="00833110">
        <w:t>Support</w:t>
      </w:r>
      <w:r>
        <w:t xml:space="preserve"> Cost), the sum of which represents the firm fixed cost for the contract</w:t>
      </w:r>
      <w:r w:rsidR="00625AA2">
        <w:t xml:space="preserve"> </w:t>
      </w:r>
      <w:r w:rsidR="00833110">
        <w:t xml:space="preserve">presented </w:t>
      </w:r>
      <w:r w:rsidR="00625AA2">
        <w:t xml:space="preserve">in </w:t>
      </w:r>
      <w:r w:rsidR="00231B62">
        <w:t>section</w:t>
      </w:r>
      <w:r w:rsidR="00625AA2">
        <w:t xml:space="preserve"> </w:t>
      </w:r>
      <w:r w:rsidR="002E4C2F">
        <w:t>G</w:t>
      </w:r>
      <w:r w:rsidR="00625AA2">
        <w:t>1.3</w:t>
      </w:r>
      <w:r w:rsidR="00231B62">
        <w:t xml:space="preserve"> (Total</w:t>
      </w:r>
      <w:r w:rsidR="00980060">
        <w:t xml:space="preserve"> Project Cost</w:t>
      </w:r>
      <w:r w:rsidR="00231B62">
        <w:t>)</w:t>
      </w:r>
      <w:r w:rsidR="00625AA2">
        <w:t>.</w:t>
      </w:r>
    </w:p>
    <w:p w14:paraId="39F3C7BE" w14:textId="07A3B015" w:rsidR="007E588F" w:rsidRDefault="002E4C2F" w:rsidP="007E588F">
      <w:pPr>
        <w:pStyle w:val="Heading3"/>
        <w:numPr>
          <w:ilvl w:val="0"/>
          <w:numId w:val="0"/>
        </w:numPr>
      </w:pPr>
      <w:r>
        <w:t>G</w:t>
      </w:r>
      <w:r w:rsidR="007E588F" w:rsidRPr="0035113A">
        <w:t>1.</w:t>
      </w:r>
      <w:r w:rsidR="00867306">
        <w:t>1</w:t>
      </w:r>
      <w:r w:rsidR="007E588F" w:rsidRPr="0035113A">
        <w:t xml:space="preserve"> </w:t>
      </w:r>
      <w:bookmarkEnd w:id="2"/>
      <w:bookmarkEnd w:id="3"/>
      <w:bookmarkEnd w:id="4"/>
      <w:r w:rsidR="00842A99">
        <w:t xml:space="preserve">Project </w:t>
      </w:r>
      <w:r w:rsidR="00231B62">
        <w:t>Lifecycle</w:t>
      </w:r>
      <w:r w:rsidR="00AF11B9">
        <w:t xml:space="preserve"> Cost</w:t>
      </w:r>
    </w:p>
    <w:p w14:paraId="5E131773" w14:textId="3F356A74" w:rsidR="00833110" w:rsidRPr="00833110" w:rsidRDefault="00231B62" w:rsidP="00833110">
      <w:pPr>
        <w:pStyle w:val="BodyTextIndent"/>
      </w:pPr>
      <w:r>
        <w:t>The following represents the deliverables and activities per the project lifecycle and phases presented in Appendix B</w:t>
      </w:r>
      <w:r w:rsidR="009F7CED">
        <w:t>, Section 1.2 (</w:t>
      </w:r>
      <w:r>
        <w:t xml:space="preserve">Project </w:t>
      </w:r>
      <w:r w:rsidR="009F7CED">
        <w:t xml:space="preserve">Lifecycle) and aligns with the contractor’s Project </w:t>
      </w:r>
      <w:r w:rsidR="000C1B06">
        <w:t>Plan</w:t>
      </w:r>
      <w:r w:rsidR="009F7CED">
        <w:t xml:space="preserve"> submitted per </w:t>
      </w:r>
      <w:r w:rsidR="000C1B06">
        <w:t>RFP Appendix A, Section 14D</w:t>
      </w:r>
      <w:r w:rsidR="00E30183">
        <w:t xml:space="preserve"> (</w:t>
      </w:r>
      <w:r w:rsidR="000C1B06">
        <w:t>Technical</w:t>
      </w:r>
      <w:r w:rsidR="009F7CED">
        <w:t xml:space="preserve"> Proposal</w:t>
      </w:r>
      <w:r w:rsidR="00E30183">
        <w:t>)</w:t>
      </w:r>
      <w:r w:rsidR="009F7CED">
        <w:t>.</w:t>
      </w:r>
      <w:r w:rsidR="00E30183">
        <w:t xml:space="preserve">  In effect, the contractor’s Project </w:t>
      </w:r>
      <w:r w:rsidR="000C1B06">
        <w:t>Plan</w:t>
      </w:r>
      <w:r w:rsidR="00E30183">
        <w:t xml:space="preserve"> defines a payment schedule; and upon the successful completion and approval of the deliverable</w:t>
      </w:r>
      <w:r w:rsidR="005743FB">
        <w:t>s</w:t>
      </w:r>
      <w:r w:rsidR="00E30183">
        <w:t xml:space="preserve"> and activities for each phase, the contractor will be paid the set amount.</w:t>
      </w:r>
      <w:r w:rsidR="00790A30">
        <w:t xml:space="preserve">  This section covers the cost through deployment, and section </w:t>
      </w:r>
      <w:r w:rsidR="002E4C2F">
        <w:t>G</w:t>
      </w:r>
      <w:r w:rsidR="00790A30">
        <w:t>1.2 covers the cost post-deployment.</w:t>
      </w:r>
    </w:p>
    <w:p w14:paraId="0E10E013" w14:textId="77777777" w:rsidR="007E588F" w:rsidRPr="00E04927" w:rsidRDefault="007E588F" w:rsidP="007E588F">
      <w:pPr>
        <w:pStyle w:val="BodyTextIndent"/>
        <w:rPr>
          <w:rFonts w:ascii="Arial Bold" w:hAnsi="Arial Bold"/>
          <w:b/>
          <w:color w:val="FF0000"/>
          <w:szCs w:val="22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1058"/>
        <w:gridCol w:w="6586"/>
        <w:gridCol w:w="1622"/>
      </w:tblGrid>
      <w:tr w:rsidR="007B1ECB" w:rsidRPr="000925C8" w14:paraId="18F3BA69" w14:textId="77777777" w:rsidTr="00157439">
        <w:trPr>
          <w:trHeight w:val="288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870E868" w14:textId="72E9F6FE" w:rsidR="007B1ECB" w:rsidRPr="000925C8" w:rsidRDefault="0067264A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E90BDC3" w14:textId="72385CA3" w:rsidR="007B1ECB" w:rsidRPr="000925C8" w:rsidRDefault="007B1ECB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 xml:space="preserve">Project Phase Deliverables &amp; </w:t>
            </w:r>
            <w:r w:rsidR="00842A99" w:rsidRPr="000925C8">
              <w:rPr>
                <w:rFonts w:cs="Arial"/>
                <w:color w:val="000000"/>
                <w:sz w:val="18"/>
                <w:szCs w:val="18"/>
              </w:rPr>
              <w:t>Activitie</w:t>
            </w:r>
            <w:r w:rsidRPr="000925C8">
              <w:rPr>
                <w:rFonts w:cs="Arial"/>
                <w:color w:val="000000"/>
                <w:sz w:val="18"/>
                <w:szCs w:val="18"/>
              </w:rPr>
              <w:t>s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A3406BF" w14:textId="336E9663" w:rsidR="007B1ECB" w:rsidRPr="000925C8" w:rsidRDefault="00AF11B9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Project </w:t>
            </w:r>
            <w:r w:rsidR="007B1ECB" w:rsidRPr="000925C8">
              <w:rPr>
                <w:rFonts w:cs="Arial"/>
                <w:color w:val="000000"/>
                <w:sz w:val="18"/>
                <w:szCs w:val="18"/>
              </w:rPr>
              <w:t>Cost</w:t>
            </w:r>
          </w:p>
        </w:tc>
      </w:tr>
      <w:tr w:rsidR="007B1ECB" w:rsidRPr="00B03C60" w14:paraId="2F6B45C0" w14:textId="77777777" w:rsidTr="00A7677A">
        <w:trPr>
          <w:trHeight w:val="288"/>
        </w:trPr>
        <w:tc>
          <w:tcPr>
            <w:tcW w:w="5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0CA2" w14:textId="77777777" w:rsidR="007B1ECB" w:rsidRPr="000925C8" w:rsidRDefault="007B1ECB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8F6B" w14:textId="23546C2F" w:rsidR="007B1ECB" w:rsidRPr="00842A99" w:rsidRDefault="007B1ECB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842A99">
              <w:rPr>
                <w:rFonts w:cs="Arial"/>
                <w:b/>
                <w:bCs/>
                <w:color w:val="000000"/>
                <w:sz w:val="18"/>
                <w:szCs w:val="18"/>
              </w:rPr>
              <w:t>Planning Phase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9F8984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42A99" w:rsidRPr="00B03C60" w14:paraId="61D71F43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7E9A" w14:textId="77777777" w:rsidR="00842A99" w:rsidRPr="000925C8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CC10" w14:textId="6FC2BFF2" w:rsidR="00842A99" w:rsidRPr="00B03C60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Schedule and conduct meetings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718A4DC9" w14:textId="5FA3CBE3" w:rsidR="00842A99" w:rsidRPr="00B03C60" w:rsidRDefault="00842A99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2A99" w:rsidRPr="00B03C60" w14:paraId="0A224A1D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62B" w14:textId="77777777" w:rsidR="00842A99" w:rsidRPr="000925C8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80A0" w14:textId="15D170B6" w:rsidR="00842A99" w:rsidRPr="00B03C60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Finalize contractor and stakeholder staffing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5654C06" w14:textId="77777777" w:rsidR="00842A99" w:rsidRPr="00B03C60" w:rsidRDefault="00842A99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842A99" w:rsidRPr="00B03C60" w14:paraId="193E8364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77A92" w14:textId="77777777" w:rsidR="00842A99" w:rsidRPr="000925C8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D19" w14:textId="367D4FD5" w:rsidR="00842A99" w:rsidRPr="00B03C60" w:rsidRDefault="00842A99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Finalize subcontractor and/or vendor contracts, if applicable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3FCEDE1" w14:textId="77777777" w:rsidR="00842A99" w:rsidRPr="00B03C60" w:rsidRDefault="00842A99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1ECB" w:rsidRPr="00B03C60" w14:paraId="5417F132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A473" w14:textId="77777777" w:rsidR="007B1ECB" w:rsidRPr="000925C8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B77B" w14:textId="24F7672A" w:rsidR="007B1ECB" w:rsidRPr="00B03C60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Project Schedule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2BE5B3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1ECB" w:rsidRPr="00B03C60" w14:paraId="605C9121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FDF5" w14:textId="77777777" w:rsidR="007B1ECB" w:rsidRPr="000925C8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5DF7" w14:textId="7C9F7BB4" w:rsidR="007B1ECB" w:rsidRPr="00B03C60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Change Management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EDD04B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B1ECB" w:rsidRPr="00B03C60" w14:paraId="53991863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6E4E" w14:textId="77777777" w:rsidR="007B1ECB" w:rsidRPr="000925C8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935B" w14:textId="46F08939" w:rsidR="007B1ECB" w:rsidRPr="00B03C60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Continuity of Operations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D424D37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1ECB" w:rsidRPr="00B03C60" w14:paraId="740DDECD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8E3E" w14:textId="77777777" w:rsidR="007B1ECB" w:rsidRPr="000925C8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0BE38" w14:textId="67B4808C" w:rsidR="007B1ECB" w:rsidRPr="00B03C60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 w:rsidRPr="007B1ECB">
              <w:rPr>
                <w:rFonts w:cs="Arial"/>
                <w:color w:val="000000"/>
                <w:sz w:val="18"/>
                <w:szCs w:val="18"/>
              </w:rPr>
              <w:t>Data Conversion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8AC4633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B1ECB" w:rsidRPr="00B03C60" w14:paraId="3BECAB07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566D" w14:textId="77777777" w:rsidR="007B1ECB" w:rsidRPr="000925C8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71EF" w14:textId="492BDDB6" w:rsidR="007B1ECB" w:rsidRPr="00B03C60" w:rsidRDefault="007B1ECB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 w:rsidRPr="007B1ECB">
              <w:rPr>
                <w:rFonts w:cs="Arial"/>
                <w:color w:val="000000"/>
                <w:sz w:val="18"/>
                <w:szCs w:val="18"/>
              </w:rPr>
              <w:t>Architecture Network Diagram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28DFB41" w14:textId="77777777" w:rsidR="007B1ECB" w:rsidRPr="00B03C60" w:rsidRDefault="007B1ECB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14CC0" w:rsidRPr="00B03C60" w14:paraId="6D29B8ED" w14:textId="77777777" w:rsidTr="00157439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C36" w14:textId="77777777" w:rsidR="00D14CC0" w:rsidRPr="000925C8" w:rsidRDefault="00D14CC0" w:rsidP="00D14CC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12BA19E" w14:textId="6C0FE1AA" w:rsidR="00D14CC0" w:rsidRPr="00B03C60" w:rsidRDefault="00D14CC0" w:rsidP="00D14C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Project </w:t>
            </w:r>
            <w:r w:rsidR="0077798E">
              <w:rPr>
                <w:rFonts w:cs="Arial"/>
                <w:color w:val="000000"/>
                <w:sz w:val="18"/>
                <w:szCs w:val="18"/>
              </w:rPr>
              <w:t xml:space="preserve">Phase </w:t>
            </w:r>
            <w:r>
              <w:rPr>
                <w:rFonts w:cs="Arial"/>
                <w:color w:val="000000"/>
                <w:sz w:val="18"/>
                <w:szCs w:val="18"/>
              </w:rPr>
              <w:t>Cost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BBE4354" w14:textId="1D7D456F" w:rsidR="00D14CC0" w:rsidRPr="00B03C60" w:rsidRDefault="00D14CC0" w:rsidP="00D14CC0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>$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5B5D583D" w14:textId="42BBE4D2" w:rsidR="00DA24C3" w:rsidRDefault="00DA24C3">
      <w:pPr>
        <w:spacing w:after="160" w:line="259" w:lineRule="auto"/>
        <w:rPr>
          <w:rFonts w:cs="Arial"/>
          <w:szCs w:val="22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1058"/>
        <w:gridCol w:w="6586"/>
        <w:gridCol w:w="1622"/>
      </w:tblGrid>
      <w:tr w:rsidR="00DA24C3" w:rsidRPr="000925C8" w14:paraId="4EC9693D" w14:textId="77777777" w:rsidTr="00157439">
        <w:trPr>
          <w:trHeight w:val="288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F891E6C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Phase</w:t>
            </w: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A60E5DC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Project Phase Deliverables &amp; Activities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425EED7B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Project Cost</w:t>
            </w:r>
          </w:p>
        </w:tc>
      </w:tr>
      <w:tr w:rsidR="00DA24C3" w:rsidRPr="00B03C60" w14:paraId="55EC5D1F" w14:textId="77777777" w:rsidTr="00A7677A">
        <w:trPr>
          <w:trHeight w:val="288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EF4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649C" w14:textId="77777777" w:rsidR="00DA24C3" w:rsidRPr="00842A99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b/>
                <w:bCs/>
                <w:color w:val="000000"/>
                <w:sz w:val="18"/>
                <w:szCs w:val="18"/>
              </w:rPr>
              <w:t>Configuration and Customization Phase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C97078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4C3" w:rsidRPr="00B03C60" w14:paraId="4F784ACC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4A92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2BAD9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Schedule and conduct meetings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C2701AF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29BC6801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651A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6CFC" w14:textId="77777777" w:rsidR="00DA24C3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Activity: </w:t>
            </w:r>
            <w:r w:rsidRPr="000925C8">
              <w:rPr>
                <w:rFonts w:cs="Arial"/>
                <w:color w:val="000000"/>
                <w:sz w:val="18"/>
                <w:szCs w:val="18"/>
              </w:rPr>
              <w:t>Spin-up the cloud instance for the SaaS product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312F7E2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2C524894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AC1B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550F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Configure the product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7C504B5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6E5B3773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31C6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7B3A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Customize the product, if applicable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06D5B7A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04826F1A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38B4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2A07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Implement the Data Conversion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2384A2D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23012A" w:rsidRPr="00B03C60" w14:paraId="45965502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38DF" w14:textId="77777777" w:rsidR="0023012A" w:rsidRPr="00B03C60" w:rsidRDefault="0023012A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A5B1" w14:textId="4745AB05" w:rsidR="0023012A" w:rsidRDefault="0023012A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23012A">
              <w:rPr>
                <w:rFonts w:cs="Arial"/>
                <w:color w:val="000000"/>
                <w:sz w:val="18"/>
                <w:szCs w:val="18"/>
              </w:rPr>
              <w:t xml:space="preserve">Activity: </w:t>
            </w:r>
            <w:r>
              <w:rPr>
                <w:rFonts w:cs="Arial"/>
                <w:color w:val="000000"/>
                <w:sz w:val="18"/>
                <w:szCs w:val="18"/>
              </w:rPr>
              <w:t>Update the Project Schedule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6DED59AE" w14:textId="77777777" w:rsidR="0023012A" w:rsidRPr="00B03C60" w:rsidRDefault="0023012A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51193" w:rsidRPr="00B03C60" w14:paraId="07DEEC1D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4FAB5" w14:textId="77777777" w:rsidR="00451193" w:rsidRPr="00B03C60" w:rsidRDefault="0045119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AF91" w14:textId="68036C49" w:rsidR="00451193" w:rsidRPr="0023012A" w:rsidRDefault="0045119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451193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Interface Control Document for the Master Client (MCI)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E164843" w14:textId="77777777" w:rsidR="00451193" w:rsidRPr="00B03C60" w:rsidRDefault="0045119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762BDFE9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47C1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839D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 w:rsidRPr="000925C8">
              <w:rPr>
                <w:rFonts w:cs="Arial"/>
                <w:color w:val="000000"/>
                <w:sz w:val="18"/>
                <w:szCs w:val="18"/>
              </w:rPr>
              <w:t>Training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30D0956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2245A85D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9EC47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A125F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 w:rsidRPr="000925C8">
              <w:rPr>
                <w:rFonts w:cs="Arial"/>
                <w:color w:val="000000"/>
                <w:sz w:val="18"/>
                <w:szCs w:val="18"/>
              </w:rPr>
              <w:t>Test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5A0F914A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3676F822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C183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4B49B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 w:rsidRPr="000925C8">
              <w:rPr>
                <w:rFonts w:cs="Arial"/>
                <w:color w:val="000000"/>
                <w:sz w:val="18"/>
                <w:szCs w:val="18"/>
              </w:rPr>
              <w:t>Product Deployment Plan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64915501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78BF850F" w14:textId="77777777" w:rsidTr="00157439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F1FE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765553F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Project Phase Cost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5841FAA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>$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6B6E7B02" w14:textId="77777777" w:rsidR="0082183B" w:rsidRDefault="0082183B">
      <w:bookmarkStart w:id="5" w:name="_Hlk124328701"/>
      <w:r>
        <w:br w:type="page"/>
      </w:r>
    </w:p>
    <w:tbl>
      <w:tblPr>
        <w:tblW w:w="4955" w:type="pct"/>
        <w:tblLook w:val="04A0" w:firstRow="1" w:lastRow="0" w:firstColumn="1" w:lastColumn="0" w:noHBand="0" w:noVBand="1"/>
      </w:tblPr>
      <w:tblGrid>
        <w:gridCol w:w="1058"/>
        <w:gridCol w:w="6586"/>
        <w:gridCol w:w="1622"/>
      </w:tblGrid>
      <w:tr w:rsidR="00DA24C3" w:rsidRPr="000925C8" w14:paraId="3A4DB652" w14:textId="77777777" w:rsidTr="00157439">
        <w:trPr>
          <w:trHeight w:val="288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1DC1A7A" w14:textId="5595B5DB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lastRenderedPageBreak/>
              <w:t>Phase</w:t>
            </w: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3F09EF3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Project Phase Deliverables &amp; Activities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510EA7F1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0925C8">
              <w:rPr>
                <w:rFonts w:cs="Arial"/>
                <w:color w:val="000000"/>
                <w:sz w:val="18"/>
                <w:szCs w:val="18"/>
              </w:rPr>
              <w:t>Project Cost</w:t>
            </w:r>
          </w:p>
        </w:tc>
      </w:tr>
      <w:bookmarkEnd w:id="5"/>
      <w:tr w:rsidR="00DA24C3" w:rsidRPr="00B03C60" w14:paraId="45A46B9B" w14:textId="77777777" w:rsidTr="00A7677A">
        <w:trPr>
          <w:trHeight w:val="288"/>
        </w:trPr>
        <w:tc>
          <w:tcPr>
            <w:tcW w:w="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EAD" w14:textId="77777777" w:rsidR="00DA24C3" w:rsidRPr="000925C8" w:rsidRDefault="00DA24C3" w:rsidP="006D207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8B6B" w14:textId="77777777" w:rsidR="00DA24C3" w:rsidRPr="00842A99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Testing and Deployment</w:t>
            </w:r>
            <w:r w:rsidRPr="000925C8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Phase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7536708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  <w:r w:rsidRPr="00B03C6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A24C3" w:rsidRPr="00B03C60" w14:paraId="355FA0DB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0102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928D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Schedule and conduct meetings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013097C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5720D04C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BDFD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750E1" w14:textId="77777777" w:rsidR="00DA24C3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Implement the Test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7F68388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19C16D8A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CFEC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622E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Implement the Training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163F6990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2A8BCF4E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1C3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3C62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Activity: Implement the Product Deployment Plan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76B4D93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1DB5" w:rsidRPr="00B03C60" w14:paraId="7387A31F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B7B2" w14:textId="77777777" w:rsidR="00691DB5" w:rsidRPr="00B03C60" w:rsidRDefault="00691DB5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1C40" w14:textId="6C043830" w:rsidR="00691DB5" w:rsidRDefault="00691DB5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691DB5">
              <w:rPr>
                <w:rFonts w:cs="Arial"/>
                <w:color w:val="000000"/>
                <w:sz w:val="18"/>
                <w:szCs w:val="18"/>
              </w:rPr>
              <w:t xml:space="preserve">Activity: Implement the </w:t>
            </w:r>
            <w:r>
              <w:rPr>
                <w:rFonts w:cs="Arial"/>
                <w:color w:val="000000"/>
                <w:sz w:val="18"/>
                <w:szCs w:val="18"/>
              </w:rPr>
              <w:t>Interface Control Document for the MCI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23B1B55E" w14:textId="77777777" w:rsidR="00691DB5" w:rsidRPr="00B03C60" w:rsidRDefault="00691DB5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91DB5" w:rsidRPr="00B03C60" w14:paraId="172407DA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FC62" w14:textId="77777777" w:rsidR="00691DB5" w:rsidRPr="00B03C60" w:rsidRDefault="00691DB5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25A1" w14:textId="70353A36" w:rsidR="00691DB5" w:rsidRPr="00691DB5" w:rsidRDefault="00691DB5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691DB5">
              <w:rPr>
                <w:rFonts w:cs="Arial"/>
                <w:color w:val="000000"/>
                <w:sz w:val="18"/>
                <w:szCs w:val="18"/>
              </w:rPr>
              <w:t xml:space="preserve">Activity: </w:t>
            </w:r>
            <w:r>
              <w:rPr>
                <w:rFonts w:cs="Arial"/>
                <w:color w:val="000000"/>
                <w:sz w:val="18"/>
                <w:szCs w:val="18"/>
              </w:rPr>
              <w:t>Update the Project Schedule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002B45DE" w14:textId="77777777" w:rsidR="00691DB5" w:rsidRPr="00B03C60" w:rsidRDefault="00691DB5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6B13D3E0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C178A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E55F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User Guide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45FF37FE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02626761" w14:textId="77777777" w:rsidTr="00A7677A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38F3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B6CB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 xml:space="preserve">Deliverable: </w:t>
            </w:r>
            <w:r>
              <w:rPr>
                <w:rFonts w:cs="Arial"/>
                <w:color w:val="000000"/>
                <w:sz w:val="18"/>
                <w:szCs w:val="18"/>
              </w:rPr>
              <w:t>Data Element Dictionary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14:paraId="34E64E9B" w14:textId="77777777" w:rsidR="00DA24C3" w:rsidRPr="00B03C60" w:rsidRDefault="00DA24C3" w:rsidP="006D207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A24C3" w:rsidRPr="00B03C60" w14:paraId="2155995E" w14:textId="77777777" w:rsidTr="00157439">
        <w:trPr>
          <w:trHeight w:val="288"/>
        </w:trPr>
        <w:tc>
          <w:tcPr>
            <w:tcW w:w="5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AA44" w14:textId="77777777" w:rsidR="00DA24C3" w:rsidRPr="00B03C60" w:rsidRDefault="00DA24C3" w:rsidP="006D207E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DA4A4C2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Project Phase Cost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517DD9" w14:textId="77777777" w:rsidR="00DA24C3" w:rsidRPr="00B03C60" w:rsidRDefault="00DA24C3" w:rsidP="006D207E">
            <w:pPr>
              <w:rPr>
                <w:rFonts w:cs="Arial"/>
                <w:color w:val="000000"/>
                <w:sz w:val="18"/>
                <w:szCs w:val="18"/>
              </w:rPr>
            </w:pPr>
            <w:r w:rsidRPr="00B03C60">
              <w:rPr>
                <w:rFonts w:cs="Arial"/>
                <w:color w:val="000000"/>
                <w:sz w:val="18"/>
                <w:szCs w:val="18"/>
              </w:rPr>
              <w:t>$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4BB50927" w14:textId="6DDBCB5A" w:rsidR="00BE04CC" w:rsidRDefault="00BE04CC">
      <w:pPr>
        <w:spacing w:after="160" w:line="259" w:lineRule="auto"/>
        <w:rPr>
          <w:rFonts w:cs="Arial"/>
          <w:szCs w:val="22"/>
        </w:rPr>
      </w:pPr>
    </w:p>
    <w:p w14:paraId="2E1F17B1" w14:textId="39B9343A" w:rsidR="00712CD7" w:rsidRDefault="002E4C2F" w:rsidP="00712CD7">
      <w:pPr>
        <w:pStyle w:val="Heading3"/>
        <w:numPr>
          <w:ilvl w:val="0"/>
          <w:numId w:val="0"/>
        </w:numPr>
      </w:pPr>
      <w:r>
        <w:t>G</w:t>
      </w:r>
      <w:r w:rsidR="00712CD7" w:rsidRPr="0035113A">
        <w:t>1.</w:t>
      </w:r>
      <w:r w:rsidR="00712CD7">
        <w:t>2</w:t>
      </w:r>
      <w:r w:rsidR="00712CD7" w:rsidRPr="0035113A">
        <w:t xml:space="preserve"> </w:t>
      </w:r>
      <w:r w:rsidR="00712CD7">
        <w:t>Annual Operations and Support Cost</w:t>
      </w:r>
    </w:p>
    <w:p w14:paraId="4BA20066" w14:textId="77777777" w:rsidR="00345781" w:rsidRDefault="00345781" w:rsidP="00345781">
      <w:pPr>
        <w:pStyle w:val="BodyTextIndent"/>
        <w:rPr>
          <w:szCs w:val="22"/>
        </w:rPr>
      </w:pPr>
      <w:r>
        <w:rPr>
          <w:szCs w:val="22"/>
        </w:rPr>
        <w:t xml:space="preserve">The contractor shall set the annual operations and support cost, which can be specified as a single all-inclusive cost category or itemized into separate cost categories (e.g., product hosting cost, mailing cost, supply cost, contractor staff position, etc.).  The contract effective date begins Base Year 1 of the contract and the firm fixed cost for the contract includes Base Year 1 through Base Year 3.  </w:t>
      </w:r>
      <w:r w:rsidRPr="00BB19E0">
        <w:rPr>
          <w:szCs w:val="22"/>
        </w:rPr>
        <w:t>The Division of Public Health has the option to extend the contract annually for an additional seven years.</w:t>
      </w:r>
    </w:p>
    <w:p w14:paraId="767B5FD2" w14:textId="3ABC34C0" w:rsidR="00A61244" w:rsidRDefault="00A61244" w:rsidP="00671FA7">
      <w:pPr>
        <w:pStyle w:val="BodyTextIndent"/>
        <w:rPr>
          <w:szCs w:val="22"/>
        </w:rPr>
      </w:pPr>
    </w:p>
    <w:p w14:paraId="6296AC6E" w14:textId="60CC6706" w:rsidR="0068547C" w:rsidRDefault="00A61244" w:rsidP="00671FA7">
      <w:pPr>
        <w:pStyle w:val="BodyTextIndent"/>
        <w:rPr>
          <w:szCs w:val="22"/>
        </w:rPr>
      </w:pPr>
      <w:r>
        <w:rPr>
          <w:szCs w:val="22"/>
        </w:rPr>
        <w:t xml:space="preserve">The annual operations and support cost begins with phase 4 of the project lifecycle, Operations and Support Phase, per </w:t>
      </w:r>
      <w:r>
        <w:t>Appendix B, Section 1.2 (Project Lifecycle).  As such, t</w:t>
      </w:r>
      <w:r w:rsidR="00622F26">
        <w:rPr>
          <w:szCs w:val="22"/>
        </w:rPr>
        <w:t xml:space="preserve">he contractor shall prorate at a minimum Base Year 1 to </w:t>
      </w:r>
      <w:r w:rsidR="00910A0B">
        <w:rPr>
          <w:szCs w:val="22"/>
        </w:rPr>
        <w:t>exclude</w:t>
      </w:r>
      <w:r w:rsidR="00622F26">
        <w:rPr>
          <w:szCs w:val="22"/>
        </w:rPr>
        <w:t xml:space="preserve"> </w:t>
      </w:r>
      <w:r>
        <w:rPr>
          <w:szCs w:val="22"/>
        </w:rPr>
        <w:t xml:space="preserve">the Project Lifecycle Cost stated in section </w:t>
      </w:r>
      <w:r w:rsidR="002E4C2F">
        <w:rPr>
          <w:szCs w:val="22"/>
        </w:rPr>
        <w:t>G</w:t>
      </w:r>
      <w:r>
        <w:rPr>
          <w:szCs w:val="22"/>
        </w:rPr>
        <w:t>.1.1</w:t>
      </w:r>
      <w:r w:rsidR="00910A0B">
        <w:rPr>
          <w:szCs w:val="22"/>
        </w:rPr>
        <w:t>, based on the projected start date of the Operations and Support Phase stated in</w:t>
      </w:r>
      <w:r w:rsidR="00A2300B">
        <w:rPr>
          <w:szCs w:val="22"/>
        </w:rPr>
        <w:t xml:space="preserve"> the </w:t>
      </w:r>
      <w:r w:rsidR="00A2300B">
        <w:t xml:space="preserve">contractor’s Project </w:t>
      </w:r>
      <w:r w:rsidR="000C1B06">
        <w:t xml:space="preserve">Plan </w:t>
      </w:r>
      <w:r w:rsidR="00A2300B">
        <w:t xml:space="preserve">submitted per </w:t>
      </w:r>
      <w:r w:rsidR="000C1B06">
        <w:t>RFP Appendix A, Section 14D (Technical Proposal</w:t>
      </w:r>
      <w:r w:rsidR="00A2300B">
        <w:t>)</w:t>
      </w:r>
      <w:r w:rsidR="00A2300B">
        <w:rPr>
          <w:szCs w:val="22"/>
        </w:rPr>
        <w:t xml:space="preserve">.  </w:t>
      </w:r>
      <w:r w:rsidR="00A2300B">
        <w:t>This section covers the post-deployment</w:t>
      </w:r>
      <w:r w:rsidR="00980060">
        <w:t xml:space="preserve"> cost</w:t>
      </w:r>
      <w:r w:rsidR="00A2300B">
        <w:t xml:space="preserve">, and section </w:t>
      </w:r>
      <w:r w:rsidR="002E4C2F">
        <w:t>G</w:t>
      </w:r>
      <w:r w:rsidR="00A2300B">
        <w:t xml:space="preserve">1.1 covers the cost for the </w:t>
      </w:r>
      <w:r>
        <w:rPr>
          <w:szCs w:val="22"/>
        </w:rPr>
        <w:t xml:space="preserve">project lifecycle phases through deployment.  </w:t>
      </w:r>
    </w:p>
    <w:p w14:paraId="35507AD4" w14:textId="77777777" w:rsidR="00660D20" w:rsidRDefault="00660D20" w:rsidP="00671FA7">
      <w:pPr>
        <w:pStyle w:val="BodyTextIndent"/>
        <w:rPr>
          <w:szCs w:val="22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4315"/>
        <w:gridCol w:w="1650"/>
        <w:gridCol w:w="1650"/>
        <w:gridCol w:w="1651"/>
      </w:tblGrid>
      <w:tr w:rsidR="00157439" w:rsidRPr="000925C8" w14:paraId="77716C98" w14:textId="77777777" w:rsidTr="00157439">
        <w:trPr>
          <w:trHeight w:val="28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26E5902" w14:textId="44E351E7" w:rsidR="00157439" w:rsidRPr="000925C8" w:rsidRDefault="00B0018D" w:rsidP="00B001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Operations and Support </w:t>
            </w:r>
            <w:r w:rsidR="00157439">
              <w:rPr>
                <w:rFonts w:cs="Arial"/>
                <w:color w:val="000000"/>
                <w:sz w:val="18"/>
                <w:szCs w:val="18"/>
              </w:rPr>
              <w:t>Cost Category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4CF2E9" w14:textId="16739308" w:rsidR="00157439" w:rsidRPr="000925C8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Year 1 Cost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599711" w14:textId="2B890297" w:rsidR="00157439" w:rsidRPr="000925C8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Year 2 Cost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0E052BE3" w14:textId="5CA5D2DE" w:rsidR="00157439" w:rsidRPr="000925C8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Year 3 Cost</w:t>
            </w:r>
          </w:p>
        </w:tc>
      </w:tr>
      <w:tr w:rsidR="00157439" w:rsidRPr="000925C8" w14:paraId="12D31E7D" w14:textId="77777777" w:rsidTr="00157439">
        <w:trPr>
          <w:trHeight w:val="28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B635E" w14:textId="620256F8" w:rsidR="00157439" w:rsidRDefault="00157439" w:rsidP="001574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Cost Category 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F5C0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901C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2EFB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57439" w:rsidRPr="000925C8" w14:paraId="3FAED2E2" w14:textId="77777777" w:rsidTr="00157439">
        <w:trPr>
          <w:trHeight w:val="28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BB6BD" w14:textId="44C18A37" w:rsidR="00157439" w:rsidRDefault="00157439" w:rsidP="001574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Cost Category 1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39CB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DF03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4DC2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57439" w:rsidRPr="000925C8" w14:paraId="742D4D50" w14:textId="77777777" w:rsidTr="00157439">
        <w:trPr>
          <w:trHeight w:val="28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4703" w14:textId="634AE7D8" w:rsidR="00157439" w:rsidRDefault="00157439" w:rsidP="001574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Cost Category n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0400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D398A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05D4" w14:textId="77777777" w:rsidR="00157439" w:rsidRDefault="00157439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57439" w:rsidRPr="000925C8" w14:paraId="4A041FD6" w14:textId="77777777" w:rsidTr="00157439">
        <w:trPr>
          <w:trHeight w:val="288"/>
        </w:trPr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9B5282" w14:textId="7DAFC330" w:rsidR="00157439" w:rsidRDefault="00157439" w:rsidP="00157439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Total Annual Cost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B93CF6" w14:textId="1DB1D90D" w:rsidR="00157439" w:rsidRDefault="00B0018D" w:rsidP="00B001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8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648D3E" w14:textId="4AE0805E" w:rsidR="00157439" w:rsidRDefault="00B0018D" w:rsidP="00B001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8B8898" w14:textId="21A97C47" w:rsidR="00157439" w:rsidRDefault="00B0018D" w:rsidP="00B001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1B4C0D22" w14:textId="078F6E9E" w:rsidR="00671FA7" w:rsidRDefault="00671FA7" w:rsidP="00671FA7">
      <w:pPr>
        <w:pStyle w:val="BodyTextIndent"/>
        <w:rPr>
          <w:szCs w:val="22"/>
        </w:rPr>
      </w:pPr>
    </w:p>
    <w:p w14:paraId="7BB88802" w14:textId="77777777" w:rsidR="00B0018D" w:rsidRDefault="00B0018D">
      <w:pPr>
        <w:spacing w:after="160" w:line="259" w:lineRule="auto"/>
        <w:rPr>
          <w:rFonts w:ascii="Arial Bold" w:hAnsi="Arial Bold"/>
          <w:b/>
        </w:rPr>
      </w:pPr>
      <w:r>
        <w:br w:type="page"/>
      </w:r>
    </w:p>
    <w:p w14:paraId="37242A11" w14:textId="5C0E045E" w:rsidR="008C6B7D" w:rsidRDefault="002E4C2F" w:rsidP="008C6B7D">
      <w:pPr>
        <w:pStyle w:val="Heading3"/>
        <w:numPr>
          <w:ilvl w:val="0"/>
          <w:numId w:val="0"/>
        </w:numPr>
      </w:pPr>
      <w:r>
        <w:t>G</w:t>
      </w:r>
      <w:r w:rsidR="008C6B7D" w:rsidRPr="0035113A">
        <w:t>1.</w:t>
      </w:r>
      <w:r w:rsidR="008C6B7D">
        <w:t>3</w:t>
      </w:r>
      <w:r w:rsidR="008C6B7D" w:rsidRPr="0035113A">
        <w:t xml:space="preserve"> </w:t>
      </w:r>
      <w:r w:rsidR="008C6B7D">
        <w:t>Total Project Cost</w:t>
      </w:r>
    </w:p>
    <w:p w14:paraId="478F06F4" w14:textId="15A55C39" w:rsidR="00BD4371" w:rsidRDefault="008C6B7D" w:rsidP="00BD4371">
      <w:pPr>
        <w:pStyle w:val="BodyTextIndent"/>
        <w:rPr>
          <w:szCs w:val="22"/>
        </w:rPr>
      </w:pPr>
      <w:r>
        <w:rPr>
          <w:szCs w:val="22"/>
        </w:rPr>
        <w:t xml:space="preserve">The contractor shall </w:t>
      </w:r>
      <w:r w:rsidR="00061AA5">
        <w:rPr>
          <w:szCs w:val="22"/>
        </w:rPr>
        <w:t xml:space="preserve">state the total project cost as the sum of sections </w:t>
      </w:r>
      <w:r w:rsidR="002E4C2F">
        <w:rPr>
          <w:szCs w:val="22"/>
        </w:rPr>
        <w:t>G</w:t>
      </w:r>
      <w:r w:rsidR="00061AA5">
        <w:rPr>
          <w:szCs w:val="22"/>
        </w:rPr>
        <w:t xml:space="preserve">.1.1 and </w:t>
      </w:r>
      <w:r w:rsidR="002E4C2F">
        <w:rPr>
          <w:szCs w:val="22"/>
        </w:rPr>
        <w:t>G</w:t>
      </w:r>
      <w:r w:rsidR="00061AA5">
        <w:rPr>
          <w:szCs w:val="22"/>
        </w:rPr>
        <w:t>.1.2.</w:t>
      </w:r>
    </w:p>
    <w:p w14:paraId="016EA28D" w14:textId="550A8AEB" w:rsidR="008C6B7D" w:rsidRDefault="008C6B7D" w:rsidP="008C6B7D">
      <w:pPr>
        <w:pStyle w:val="BodyTextIndent"/>
        <w:rPr>
          <w:szCs w:val="22"/>
        </w:rPr>
      </w:pPr>
    </w:p>
    <w:tbl>
      <w:tblPr>
        <w:tblW w:w="4955" w:type="pct"/>
        <w:tblLook w:val="04A0" w:firstRow="1" w:lastRow="0" w:firstColumn="1" w:lastColumn="0" w:noHBand="0" w:noVBand="1"/>
      </w:tblPr>
      <w:tblGrid>
        <w:gridCol w:w="7644"/>
        <w:gridCol w:w="1622"/>
      </w:tblGrid>
      <w:tr w:rsidR="00B0018D" w:rsidRPr="000925C8" w14:paraId="6071851C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02E281" w14:textId="62D0DC5B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Project Cost Category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B82BB5" w14:textId="0D2CC964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Project Cost</w:t>
            </w:r>
          </w:p>
        </w:tc>
      </w:tr>
      <w:tr w:rsidR="00B0018D" w:rsidRPr="000925C8" w14:paraId="0C29E468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DDCC" w14:textId="7D05EC2C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Phase 1 – Planning Phase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8A34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4AA78B12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B3DE" w14:textId="6C25F069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Phase 2 – </w:t>
            </w:r>
            <w:r w:rsidRPr="00B0018D">
              <w:rPr>
                <w:rFonts w:cs="Arial"/>
                <w:color w:val="000000"/>
                <w:sz w:val="18"/>
                <w:szCs w:val="18"/>
              </w:rPr>
              <w:t>Configuration and Customization Phase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3080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62C03208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D589" w14:textId="6D62DE9E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Phase 3 – </w:t>
            </w:r>
            <w:r w:rsidRPr="00B0018D">
              <w:rPr>
                <w:rFonts w:cs="Arial"/>
                <w:color w:val="000000"/>
                <w:sz w:val="18"/>
                <w:szCs w:val="18"/>
              </w:rPr>
              <w:t>Testing and Deployment Phase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BF51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7C465F70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1138" w14:textId="1B6A6BD2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Phase 4 – </w:t>
            </w:r>
            <w:r w:rsidRPr="00B0018D">
              <w:rPr>
                <w:rFonts w:cs="Arial"/>
                <w:color w:val="000000"/>
                <w:sz w:val="18"/>
                <w:szCs w:val="18"/>
              </w:rPr>
              <w:t>Operations and Support Phase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– Year 1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5680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47BBB154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C4A2" w14:textId="497BB7BD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Phase 4 – </w:t>
            </w:r>
            <w:r w:rsidRPr="00B0018D">
              <w:rPr>
                <w:rFonts w:cs="Arial"/>
                <w:color w:val="000000"/>
                <w:sz w:val="18"/>
                <w:szCs w:val="18"/>
              </w:rPr>
              <w:t>Operations and Support Phase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– Year 2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233D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6FA46AA9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EB903" w14:textId="27BDC0F5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Phase 4 – </w:t>
            </w:r>
            <w:r w:rsidRPr="00B0018D">
              <w:rPr>
                <w:rFonts w:cs="Arial"/>
                <w:color w:val="000000"/>
                <w:sz w:val="18"/>
                <w:szCs w:val="18"/>
              </w:rPr>
              <w:t>Operations and Support Phase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– Year 3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653C" w14:textId="77777777" w:rsidR="00B0018D" w:rsidRDefault="00B0018D" w:rsidP="0074219E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0018D" w:rsidRPr="000925C8" w14:paraId="6B1BA7B3" w14:textId="77777777" w:rsidTr="00B0018D">
        <w:trPr>
          <w:trHeight w:val="288"/>
        </w:trPr>
        <w:tc>
          <w:tcPr>
            <w:tcW w:w="4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7BAC1E" w14:textId="1F8067B6" w:rsidR="00B0018D" w:rsidRDefault="00B0018D" w:rsidP="0074219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Total Project Cost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86B007" w14:textId="67F784E3" w:rsidR="00B0018D" w:rsidRDefault="00B0018D" w:rsidP="00B001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$</w:t>
            </w:r>
          </w:p>
        </w:tc>
      </w:tr>
    </w:tbl>
    <w:p w14:paraId="6A177852" w14:textId="2BBE5F93" w:rsidR="00B0018D" w:rsidRDefault="00B0018D">
      <w:pPr>
        <w:spacing w:after="160" w:line="259" w:lineRule="auto"/>
        <w:rPr>
          <w:rFonts w:cs="Arial"/>
          <w:szCs w:val="22"/>
        </w:rPr>
      </w:pPr>
    </w:p>
    <w:p w14:paraId="41655841" w14:textId="77777777" w:rsidR="00B0018D" w:rsidRDefault="00B0018D">
      <w:pPr>
        <w:spacing w:after="160" w:line="259" w:lineRule="auto"/>
        <w:rPr>
          <w:rFonts w:cs="Arial"/>
          <w:szCs w:val="22"/>
        </w:rPr>
      </w:pPr>
    </w:p>
    <w:sectPr w:rsidR="00B0018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AE83" w14:textId="77777777" w:rsidR="00611487" w:rsidRDefault="00611487" w:rsidP="00082350">
      <w:r>
        <w:separator/>
      </w:r>
    </w:p>
  </w:endnote>
  <w:endnote w:type="continuationSeparator" w:id="0">
    <w:p w14:paraId="64113D3C" w14:textId="77777777" w:rsidR="00611487" w:rsidRDefault="00611487" w:rsidP="0008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47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A6D8B" w14:textId="2A302016" w:rsidR="00B026B3" w:rsidRDefault="00B026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05D43D" w14:textId="77777777" w:rsidR="00B026B3" w:rsidRDefault="00B026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037B" w14:textId="77777777" w:rsidR="00611487" w:rsidRDefault="00611487" w:rsidP="00082350">
      <w:r>
        <w:separator/>
      </w:r>
    </w:p>
  </w:footnote>
  <w:footnote w:type="continuationSeparator" w:id="0">
    <w:p w14:paraId="5FEC3BC5" w14:textId="77777777" w:rsidR="00611487" w:rsidRDefault="00611487" w:rsidP="00082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7675" w14:textId="18E25F9A" w:rsidR="00082350" w:rsidRPr="00082350" w:rsidRDefault="00082350" w:rsidP="00082350">
    <w:pPr>
      <w:pStyle w:val="Header"/>
      <w:pBdr>
        <w:bottom w:val="single" w:sz="4" w:space="0" w:color="auto"/>
      </w:pBdr>
      <w:rPr>
        <w:sz w:val="16"/>
        <w:szCs w:val="16"/>
      </w:rPr>
    </w:pPr>
    <w:r w:rsidRPr="00082350">
      <w:rPr>
        <w:sz w:val="16"/>
        <w:szCs w:val="16"/>
      </w:rPr>
      <w:t xml:space="preserve">RFP </w:t>
    </w:r>
    <w:r w:rsidR="0052478C">
      <w:rPr>
        <w:sz w:val="16"/>
        <w:szCs w:val="16"/>
      </w:rPr>
      <w:t xml:space="preserve">HSS 26 001 </w:t>
    </w:r>
    <w:r w:rsidR="0052478C">
      <w:rPr>
        <w:sz w:val="16"/>
        <w:szCs w:val="16"/>
      </w:rPr>
      <w:tab/>
    </w:r>
    <w:r w:rsidR="0052478C">
      <w:rPr>
        <w:sz w:val="16"/>
        <w:szCs w:val="16"/>
      </w:rPr>
      <w:tab/>
    </w:r>
    <w:r w:rsidR="002E4C2F">
      <w:rPr>
        <w:sz w:val="16"/>
        <w:szCs w:val="16"/>
      </w:rPr>
      <w:t>Appendix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3961"/>
    <w:multiLevelType w:val="hybridMultilevel"/>
    <w:tmpl w:val="D60A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665EF"/>
    <w:multiLevelType w:val="multilevel"/>
    <w:tmpl w:val="B95464BC"/>
    <w:lvl w:ilvl="0">
      <w:start w:val="1"/>
      <w:numFmt w:val="decimal"/>
      <w:pStyle w:val="Heading1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5482757">
    <w:abstractNumId w:val="1"/>
  </w:num>
  <w:num w:numId="2" w16cid:durableId="889807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8F"/>
    <w:rsid w:val="00061AA5"/>
    <w:rsid w:val="00082350"/>
    <w:rsid w:val="00092449"/>
    <w:rsid w:val="000925C8"/>
    <w:rsid w:val="000C1B06"/>
    <w:rsid w:val="001173B3"/>
    <w:rsid w:val="00157439"/>
    <w:rsid w:val="00172F0D"/>
    <w:rsid w:val="001A700A"/>
    <w:rsid w:val="001B093B"/>
    <w:rsid w:val="001E3AD2"/>
    <w:rsid w:val="002026C6"/>
    <w:rsid w:val="0023012A"/>
    <w:rsid w:val="00231B62"/>
    <w:rsid w:val="0027698E"/>
    <w:rsid w:val="002E4C2F"/>
    <w:rsid w:val="0031139F"/>
    <w:rsid w:val="00345781"/>
    <w:rsid w:val="0035025F"/>
    <w:rsid w:val="00354EE7"/>
    <w:rsid w:val="00365206"/>
    <w:rsid w:val="003835AA"/>
    <w:rsid w:val="00393545"/>
    <w:rsid w:val="003A1D06"/>
    <w:rsid w:val="003D1140"/>
    <w:rsid w:val="0040141F"/>
    <w:rsid w:val="00451193"/>
    <w:rsid w:val="004A7B6A"/>
    <w:rsid w:val="00521E0C"/>
    <w:rsid w:val="0052478C"/>
    <w:rsid w:val="00536D9D"/>
    <w:rsid w:val="00561666"/>
    <w:rsid w:val="005743FB"/>
    <w:rsid w:val="00601E38"/>
    <w:rsid w:val="00611487"/>
    <w:rsid w:val="00622F26"/>
    <w:rsid w:val="00625AA2"/>
    <w:rsid w:val="00636279"/>
    <w:rsid w:val="00652F01"/>
    <w:rsid w:val="00660D20"/>
    <w:rsid w:val="00671FA7"/>
    <w:rsid w:val="0067264A"/>
    <w:rsid w:val="0068547C"/>
    <w:rsid w:val="00691DB5"/>
    <w:rsid w:val="006B4435"/>
    <w:rsid w:val="006E4284"/>
    <w:rsid w:val="00712CD7"/>
    <w:rsid w:val="00731419"/>
    <w:rsid w:val="0077106C"/>
    <w:rsid w:val="007723DA"/>
    <w:rsid w:val="0077798E"/>
    <w:rsid w:val="00790A30"/>
    <w:rsid w:val="007B1ECB"/>
    <w:rsid w:val="007D1B59"/>
    <w:rsid w:val="007E588F"/>
    <w:rsid w:val="007E6809"/>
    <w:rsid w:val="0082183B"/>
    <w:rsid w:val="00825304"/>
    <w:rsid w:val="00833110"/>
    <w:rsid w:val="00842A99"/>
    <w:rsid w:val="00850486"/>
    <w:rsid w:val="008619C9"/>
    <w:rsid w:val="00867306"/>
    <w:rsid w:val="0087761D"/>
    <w:rsid w:val="00883DD1"/>
    <w:rsid w:val="008C6B7D"/>
    <w:rsid w:val="00910A0B"/>
    <w:rsid w:val="00931C06"/>
    <w:rsid w:val="00976278"/>
    <w:rsid w:val="00980060"/>
    <w:rsid w:val="009E632B"/>
    <w:rsid w:val="009F7CED"/>
    <w:rsid w:val="00A14EB2"/>
    <w:rsid w:val="00A2300B"/>
    <w:rsid w:val="00A476A2"/>
    <w:rsid w:val="00A61244"/>
    <w:rsid w:val="00A7677A"/>
    <w:rsid w:val="00AF11B9"/>
    <w:rsid w:val="00B0018D"/>
    <w:rsid w:val="00B026B3"/>
    <w:rsid w:val="00B5029D"/>
    <w:rsid w:val="00BB19E0"/>
    <w:rsid w:val="00BB4897"/>
    <w:rsid w:val="00BD4371"/>
    <w:rsid w:val="00BE04CC"/>
    <w:rsid w:val="00C10CA0"/>
    <w:rsid w:val="00D14CC0"/>
    <w:rsid w:val="00D37023"/>
    <w:rsid w:val="00DA24C3"/>
    <w:rsid w:val="00E30183"/>
    <w:rsid w:val="00E81F0B"/>
    <w:rsid w:val="00EA24A7"/>
    <w:rsid w:val="00F05F36"/>
    <w:rsid w:val="00F21705"/>
    <w:rsid w:val="00F2520C"/>
    <w:rsid w:val="00FC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57DB8"/>
  <w15:chartTrackingRefBased/>
  <w15:docId w15:val="{C81DE4E6-E300-4AB2-A10D-92A20D25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8F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BodyTextIndent"/>
    <w:link w:val="Heading1Char"/>
    <w:uiPriority w:val="9"/>
    <w:qFormat/>
    <w:rsid w:val="007E588F"/>
    <w:pPr>
      <w:keepNext/>
      <w:widowControl w:val="0"/>
      <w:numPr>
        <w:numId w:val="1"/>
      </w:numPr>
      <w:pBdr>
        <w:bottom w:val="single" w:sz="4" w:space="1" w:color="auto"/>
      </w:pBdr>
      <w:spacing w:before="400" w:after="120"/>
      <w:outlineLvl w:val="0"/>
    </w:pPr>
    <w:rPr>
      <w:rFonts w:ascii="Arial Bold" w:hAnsi="Arial Bold"/>
      <w:b/>
      <w:kern w:val="28"/>
      <w:sz w:val="36"/>
    </w:rPr>
  </w:style>
  <w:style w:type="paragraph" w:styleId="Heading2">
    <w:name w:val="heading 2"/>
    <w:basedOn w:val="Normal"/>
    <w:next w:val="BodyTextIndent"/>
    <w:link w:val="Heading2Char"/>
    <w:uiPriority w:val="9"/>
    <w:qFormat/>
    <w:rsid w:val="007E588F"/>
    <w:pPr>
      <w:keepNext/>
      <w:numPr>
        <w:ilvl w:val="1"/>
        <w:numId w:val="1"/>
      </w:numPr>
      <w:spacing w:before="240" w:after="60"/>
      <w:outlineLvl w:val="1"/>
    </w:pPr>
    <w:rPr>
      <w:rFonts w:ascii="Arial Bold" w:hAnsi="Arial Bold"/>
      <w:b/>
    </w:rPr>
  </w:style>
  <w:style w:type="paragraph" w:styleId="Heading3">
    <w:name w:val="heading 3"/>
    <w:basedOn w:val="Normal"/>
    <w:next w:val="BodyTextIndent"/>
    <w:link w:val="Heading3Char"/>
    <w:uiPriority w:val="9"/>
    <w:qFormat/>
    <w:rsid w:val="007E588F"/>
    <w:pPr>
      <w:keepNext/>
      <w:numPr>
        <w:ilvl w:val="2"/>
        <w:numId w:val="1"/>
      </w:numPr>
      <w:spacing w:before="240" w:after="60"/>
      <w:outlineLvl w:val="2"/>
    </w:pPr>
    <w:rPr>
      <w:rFonts w:ascii="Arial Bold" w:hAnsi="Arial Bold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88F"/>
    <w:rPr>
      <w:rFonts w:ascii="Arial Bold" w:eastAsia="Times New Roman" w:hAnsi="Arial Bold" w:cs="Times New Roman"/>
      <w:b/>
      <w:kern w:val="28"/>
      <w:sz w:val="3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588F"/>
    <w:rPr>
      <w:rFonts w:ascii="Arial Bold" w:eastAsia="Times New Roman" w:hAnsi="Arial Bold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7E588F"/>
    <w:rPr>
      <w:rFonts w:ascii="Arial Bold" w:eastAsia="Times New Roman" w:hAnsi="Arial Bold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7E588F"/>
    <w:pPr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E588F"/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rsid w:val="007E588F"/>
    <w:pPr>
      <w:tabs>
        <w:tab w:val="left" w:pos="360"/>
      </w:tabs>
      <w:spacing w:after="120"/>
      <w:ind w:left="360"/>
    </w:pPr>
    <w:rPr>
      <w:rFonts w:ascii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rsid w:val="007E588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23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5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0823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50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3560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Chiofolo</dc:creator>
  <cp:keywords/>
  <dc:description/>
  <cp:lastModifiedBy>Clark, Sandra (OMB)</cp:lastModifiedBy>
  <cp:revision>2</cp:revision>
  <dcterms:created xsi:type="dcterms:W3CDTF">2025-06-30T14:53:00Z</dcterms:created>
  <dcterms:modified xsi:type="dcterms:W3CDTF">2025-06-30T14:53:00Z</dcterms:modified>
</cp:coreProperties>
</file>