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45F48F33"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Responses to solicitation</w:t>
      </w:r>
      <w:r w:rsidR="0028615B">
        <w:rPr>
          <w:rFonts w:ascii="Bookman Old Style" w:hAnsi="Bookman Old Style"/>
          <w:b w:val="0"/>
          <w:bCs w:val="0"/>
          <w:spacing w:val="-4"/>
          <w:sz w:val="24"/>
          <w:szCs w:val="24"/>
        </w:rPr>
        <w:t>, Used Motor Oil and Fluid Waste Services, GSS26950-WASTE</w:t>
      </w:r>
      <w:r w:rsidR="00CE7296">
        <w:rPr>
          <w:rFonts w:ascii="Bookman Old Style" w:hAnsi="Bookman Old Style"/>
          <w:b w:val="0"/>
          <w:bCs w:val="0"/>
          <w:spacing w:val="-4"/>
          <w:sz w:val="24"/>
          <w:szCs w:val="24"/>
        </w:rPr>
        <w:t xml:space="preserve"> </w:t>
      </w:r>
      <w:r w:rsidR="0028615B">
        <w:rPr>
          <w:rFonts w:ascii="Bookman Old Style" w:hAnsi="Bookman Old Style"/>
          <w:b w:val="0"/>
          <w:bCs w:val="0"/>
          <w:spacing w:val="-4"/>
          <w:sz w:val="24"/>
          <w:szCs w:val="24"/>
        </w:rPr>
        <w:t>SVC,</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7723295B"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7"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28615B" w:rsidRPr="0028615B">
        <w:rPr>
          <w:rFonts w:ascii="Bookman Old Style" w:eastAsia="Times New Roman" w:hAnsi="Bookman Old Style"/>
          <w:spacing w:val="-3"/>
          <w:sz w:val="24"/>
          <w:szCs w:val="24"/>
        </w:rPr>
        <w:t>3:00 p.m. Local Time December 22, 2025</w:t>
      </w:r>
      <w:r w:rsidRPr="0028615B">
        <w:rPr>
          <w:rFonts w:ascii="Bookman Old Style" w:eastAsia="Times New Roman" w:hAnsi="Bookman Old Style"/>
          <w:spacing w:val="-3"/>
          <w:sz w:val="24"/>
          <w:szCs w:val="24"/>
        </w:rPr>
        <w:t xml:space="preserve">, referencing the section, page number, text of passage being questioned, and the question. All questions will be answered in writing by </w:t>
      </w:r>
      <w:r w:rsidR="0028615B" w:rsidRPr="0028615B">
        <w:rPr>
          <w:rFonts w:ascii="Bookman Old Style" w:eastAsia="Times New Roman" w:hAnsi="Bookman Old Style"/>
          <w:spacing w:val="-3"/>
          <w:sz w:val="24"/>
          <w:szCs w:val="24"/>
        </w:rPr>
        <w:t>December 29, 2025</w:t>
      </w:r>
      <w:r w:rsidRPr="0028615B">
        <w:rPr>
          <w:rFonts w:ascii="Bookman Old Style" w:eastAsia="Times New Roman" w:hAnsi="Bookman Old Style"/>
          <w:spacing w:val="-3"/>
          <w:sz w:val="24"/>
          <w:szCs w:val="24"/>
        </w:rPr>
        <w:t>,</w:t>
      </w:r>
      <w:r w:rsidRPr="000D75A2">
        <w:rPr>
          <w:rFonts w:ascii="Bookman Old Style" w:eastAsia="Times New Roman" w:hAnsi="Bookman Old Style"/>
          <w:spacing w:val="-3"/>
          <w:sz w:val="24"/>
          <w:szCs w:val="24"/>
        </w:rPr>
        <w:t xml:space="preserve"> with responses posted on </w:t>
      </w:r>
      <w:hyperlink r:id="rId8"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9"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0"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152C2">
      <w:pPr>
        <w:pStyle w:val="Heading1"/>
        <w:numPr>
          <w:ilvl w:val="1"/>
          <w:numId w:val="5"/>
        </w:numPr>
        <w:rPr>
          <w:rFonts w:ascii="Bookman Old Style" w:hAnsi="Bookman Old Style"/>
          <w:color w:val="FF0000"/>
          <w:spacing w:val="-4"/>
          <w:sz w:val="24"/>
          <w:szCs w:val="24"/>
        </w:rPr>
      </w:pPr>
      <w:r w:rsidRPr="00A53792">
        <w:rPr>
          <w:rFonts w:ascii="Bookman Old Style" w:hAnsi="Bookman Old Style"/>
          <w:color w:val="A2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595FD3C1" w:rsidR="00EF6770" w:rsidRDefault="0028615B" w:rsidP="000D75A2">
      <w:pPr>
        <w:pStyle w:val="Heading1"/>
        <w:numPr>
          <w:ilvl w:val="0"/>
          <w:numId w:val="5"/>
        </w:numPr>
        <w:rPr>
          <w:rFonts w:ascii="Bookman Old Style" w:hAnsi="Bookman Old Style"/>
          <w:spacing w:val="-4"/>
          <w:sz w:val="24"/>
          <w:szCs w:val="24"/>
        </w:rPr>
      </w:pPr>
      <w:r>
        <w:rPr>
          <w:rFonts w:ascii="Bookman Old Style" w:hAnsi="Bookman Old Style"/>
          <w:spacing w:val="-4"/>
          <w:sz w:val="24"/>
          <w:szCs w:val="24"/>
        </w:rPr>
        <w:t>Cost Proposal</w:t>
      </w:r>
      <w:r w:rsidR="00EF6770" w:rsidRPr="00B06EB5">
        <w:rPr>
          <w:rFonts w:ascii="Bookman Old Style" w:hAnsi="Bookman Old Style"/>
          <w:spacing w:val="-4"/>
          <w:sz w:val="24"/>
          <w:szCs w:val="24"/>
        </w:rPr>
        <w:t xml:space="preserve"> </w:t>
      </w:r>
      <w:r w:rsidR="00A152C2">
        <w:rPr>
          <w:rFonts w:ascii="Bookman Old Style" w:hAnsi="Bookman Old Style"/>
          <w:spacing w:val="-4"/>
          <w:sz w:val="24"/>
          <w:szCs w:val="24"/>
        </w:rPr>
        <w:t>–</w:t>
      </w:r>
      <w:r w:rsidR="00EF6770"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w:t>
      </w:r>
    </w:p>
    <w:p w14:paraId="6A52A18A" w14:textId="77777777" w:rsidR="00A152C2" w:rsidRPr="00A152C2" w:rsidRDefault="00A152C2" w:rsidP="00A152C2">
      <w:pPr>
        <w:pStyle w:val="Heading1"/>
        <w:ind w:left="720"/>
        <w:rPr>
          <w:rFonts w:ascii="Bookman Old Style" w:hAnsi="Bookman Old Style"/>
          <w:b w:val="0"/>
          <w:bCs w:val="0"/>
          <w:spacing w:val="-4"/>
          <w:sz w:val="24"/>
          <w:szCs w:val="24"/>
        </w:rPr>
      </w:pPr>
    </w:p>
    <w:p w14:paraId="513860CC" w14:textId="789A04F2" w:rsidR="00EF6770" w:rsidRDefault="0028615B" w:rsidP="000D75A2">
      <w:pPr>
        <w:pStyle w:val="Heading1"/>
        <w:numPr>
          <w:ilvl w:val="0"/>
          <w:numId w:val="5"/>
        </w:numPr>
        <w:rPr>
          <w:rFonts w:ascii="Bookman Old Style" w:hAnsi="Bookman Old Style"/>
          <w:b w:val="0"/>
          <w:bCs w:val="0"/>
          <w:spacing w:val="-4"/>
          <w:sz w:val="24"/>
          <w:szCs w:val="24"/>
        </w:rPr>
      </w:pPr>
      <w:r w:rsidRPr="0028615B">
        <w:rPr>
          <w:rFonts w:ascii="Bookman Old Style" w:hAnsi="Bookman Old Style"/>
          <w:spacing w:val="-4"/>
          <w:sz w:val="24"/>
          <w:szCs w:val="24"/>
        </w:rPr>
        <w:t xml:space="preserve">DNREC permit </w:t>
      </w:r>
      <w:r>
        <w:rPr>
          <w:rFonts w:ascii="Bookman Old Style" w:hAnsi="Bookman Old Style"/>
          <w:b w:val="0"/>
          <w:bCs w:val="0"/>
          <w:spacing w:val="-4"/>
          <w:sz w:val="24"/>
          <w:szCs w:val="24"/>
        </w:rPr>
        <w:t xml:space="preserve">– refer to section B of Appendix A. </w:t>
      </w:r>
    </w:p>
    <w:p w14:paraId="6BC9956D" w14:textId="77777777" w:rsidR="0028615B" w:rsidRDefault="0028615B" w:rsidP="0028615B">
      <w:pPr>
        <w:pStyle w:val="ListParagraph"/>
        <w:rPr>
          <w:rFonts w:ascii="Bookman Old Style" w:hAnsi="Bookman Old Style"/>
          <w:b/>
          <w:bCs/>
          <w:spacing w:val="-4"/>
          <w:sz w:val="24"/>
          <w:szCs w:val="24"/>
        </w:rPr>
      </w:pPr>
    </w:p>
    <w:p w14:paraId="4D846954" w14:textId="2A32F3CA" w:rsidR="0028615B" w:rsidRDefault="0028615B" w:rsidP="000D75A2">
      <w:pPr>
        <w:pStyle w:val="Heading1"/>
        <w:numPr>
          <w:ilvl w:val="0"/>
          <w:numId w:val="5"/>
        </w:numPr>
        <w:rPr>
          <w:rFonts w:ascii="Bookman Old Style" w:hAnsi="Bookman Old Style"/>
          <w:b w:val="0"/>
          <w:bCs w:val="0"/>
          <w:spacing w:val="-4"/>
          <w:sz w:val="24"/>
          <w:szCs w:val="24"/>
        </w:rPr>
      </w:pPr>
      <w:r w:rsidRPr="0028615B">
        <w:rPr>
          <w:rFonts w:ascii="Bookman Old Style" w:hAnsi="Bookman Old Style"/>
          <w:spacing w:val="-4"/>
          <w:sz w:val="24"/>
          <w:szCs w:val="24"/>
        </w:rPr>
        <w:t>Oil Spill Contingency Plan</w:t>
      </w:r>
      <w:r>
        <w:rPr>
          <w:rFonts w:ascii="Bookman Old Style" w:hAnsi="Bookman Old Style"/>
          <w:b w:val="0"/>
          <w:bCs w:val="0"/>
          <w:spacing w:val="-4"/>
          <w:sz w:val="24"/>
          <w:szCs w:val="24"/>
        </w:rPr>
        <w:t xml:space="preserve"> – refer to section B of Appendix A.</w:t>
      </w:r>
    </w:p>
    <w:p w14:paraId="3F70F622" w14:textId="77777777" w:rsidR="0028615B" w:rsidRDefault="0028615B" w:rsidP="0028615B">
      <w:pPr>
        <w:pStyle w:val="ListParagraph"/>
        <w:rPr>
          <w:rFonts w:ascii="Bookman Old Style" w:hAnsi="Bookman Old Style"/>
          <w:b/>
          <w:bCs/>
          <w:spacing w:val="-4"/>
          <w:sz w:val="24"/>
          <w:szCs w:val="24"/>
        </w:rPr>
      </w:pPr>
    </w:p>
    <w:p w14:paraId="3876C504" w14:textId="7BBCE8C4" w:rsidR="0028615B" w:rsidRPr="00A152C2" w:rsidRDefault="0028615B" w:rsidP="000D75A2">
      <w:pPr>
        <w:pStyle w:val="Heading1"/>
        <w:numPr>
          <w:ilvl w:val="0"/>
          <w:numId w:val="5"/>
        </w:numPr>
        <w:rPr>
          <w:rFonts w:ascii="Bookman Old Style" w:hAnsi="Bookman Old Style"/>
          <w:b w:val="0"/>
          <w:bCs w:val="0"/>
          <w:spacing w:val="-4"/>
          <w:sz w:val="24"/>
          <w:szCs w:val="24"/>
        </w:rPr>
      </w:pPr>
      <w:r w:rsidRPr="0028615B">
        <w:rPr>
          <w:rFonts w:ascii="Bookman Old Style" w:hAnsi="Bookman Old Style"/>
          <w:spacing w:val="-4"/>
          <w:sz w:val="24"/>
          <w:szCs w:val="24"/>
        </w:rPr>
        <w:t>Service Plan</w:t>
      </w:r>
      <w:r>
        <w:rPr>
          <w:rFonts w:ascii="Bookman Old Style" w:hAnsi="Bookman Old Style"/>
          <w:b w:val="0"/>
          <w:bCs w:val="0"/>
          <w:spacing w:val="-4"/>
          <w:sz w:val="24"/>
          <w:szCs w:val="24"/>
        </w:rPr>
        <w:t xml:space="preserve"> – refer to section F of Appendix A. </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53792">
        <w:rPr>
          <w:rFonts w:ascii="Bookman Old Style" w:hAnsi="Bookman Old Style"/>
          <w:color w:val="A2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5D994313" w:rsidR="00CC331D" w:rsidRPr="00595CB9" w:rsidRDefault="00CC331D" w:rsidP="00597337">
      <w:pPr>
        <w:ind w:left="360"/>
        <w:rPr>
          <w:rFonts w:ascii="Bookman Old Style" w:hAnsi="Bookman Old Style"/>
          <w:spacing w:val="-4"/>
          <w:sz w:val="24"/>
          <w:szCs w:val="24"/>
        </w:rPr>
      </w:pPr>
      <w:r w:rsidRPr="0028615B">
        <w:rPr>
          <w:rFonts w:ascii="Bookman Old Style" w:hAnsi="Bookman Old Style"/>
          <w:spacing w:val="-4"/>
          <w:sz w:val="24"/>
          <w:szCs w:val="24"/>
        </w:rPr>
        <w:t xml:space="preserve">Per Delaware Code, the online bid submission portal will not permit incomplete nor late submissions. Uploads must be complete by 3:00 p.m. </w:t>
      </w:r>
      <w:r w:rsidR="0028615B" w:rsidRPr="0028615B">
        <w:rPr>
          <w:rFonts w:ascii="Bookman Old Style" w:hAnsi="Bookman Old Style"/>
          <w:spacing w:val="-4"/>
          <w:sz w:val="24"/>
          <w:szCs w:val="24"/>
        </w:rPr>
        <w:t>January 6, 2026</w:t>
      </w:r>
      <w:r w:rsidRPr="0028615B">
        <w:rPr>
          <w:rFonts w:ascii="Bookman Old Style" w:hAnsi="Bookman Old Style"/>
          <w:spacing w:val="-4"/>
          <w:sz w:val="24"/>
          <w:szCs w:val="24"/>
        </w:rPr>
        <w:t>. Respondents are encouraged not to wait until the last hour to upload documents.</w:t>
      </w:r>
      <w:r w:rsidRPr="00595CB9">
        <w:rPr>
          <w:rFonts w:ascii="Bookman Old Style" w:hAnsi="Bookman Old Style"/>
          <w:spacing w:val="-4"/>
          <w:sz w:val="24"/>
          <w:szCs w:val="24"/>
        </w:rPr>
        <w:t xml:space="preserve">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6EE78191" w14:textId="25F7EA6B" w:rsidR="00EF6770" w:rsidRDefault="00CC331D" w:rsidP="00CE7296">
      <w:pPr>
        <w:ind w:left="360"/>
        <w:rPr>
          <w:spacing w:val="-4"/>
        </w:rPr>
      </w:pPr>
      <w:r w:rsidRPr="00595CB9">
        <w:rPr>
          <w:rFonts w:ascii="Bookman Old Style" w:hAnsi="Bookman Old Style"/>
          <w:spacing w:val="-4"/>
          <w:sz w:val="24"/>
          <w:szCs w:val="24"/>
        </w:rPr>
        <w:t xml:space="preserve">Allow time for any </w:t>
      </w:r>
      <w:proofErr w:type="gramStart"/>
      <w:r w:rsidRPr="00595CB9">
        <w:rPr>
          <w:rFonts w:ascii="Bookman Old Style" w:hAnsi="Bookman Old Style"/>
          <w:spacing w:val="-4"/>
          <w:sz w:val="24"/>
          <w:szCs w:val="24"/>
        </w:rPr>
        <w:t>technology</w:t>
      </w:r>
      <w:proofErr w:type="gramEnd"/>
      <w:r w:rsidRPr="00595CB9">
        <w:rPr>
          <w:rFonts w:ascii="Bookman Old Style" w:hAnsi="Bookman Old Style"/>
          <w:spacing w:val="-4"/>
          <w:sz w:val="24"/>
          <w:szCs w:val="24"/>
        </w:rPr>
        <w:t xml:space="preserve">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in order to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1"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2"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w:t>
      </w:r>
    </w:p>
    <w:p w14:paraId="597DDA86" w14:textId="77777777" w:rsidR="00EF6770" w:rsidRDefault="00EF6770" w:rsidP="00EF6770">
      <w:pPr>
        <w:pStyle w:val="Heading1"/>
        <w:jc w:val="right"/>
        <w:rPr>
          <w:spacing w:val="-4"/>
        </w:rPr>
      </w:pPr>
    </w:p>
    <w:p w14:paraId="2F3B6853" w14:textId="77777777" w:rsidR="00EF6770" w:rsidRDefault="00EF6770" w:rsidP="00EF6770">
      <w:pPr>
        <w:pStyle w:val="Heading1"/>
        <w:jc w:val="right"/>
        <w:rPr>
          <w:spacing w:val="-4"/>
        </w:rPr>
      </w:pPr>
    </w:p>
    <w:p w14:paraId="39CB1B4E" w14:textId="77777777" w:rsidR="00EF6770" w:rsidRDefault="00EF6770" w:rsidP="00EF6770">
      <w:pPr>
        <w:pStyle w:val="Heading1"/>
        <w:jc w:val="right"/>
        <w:rPr>
          <w:spacing w:val="-4"/>
        </w:rPr>
      </w:pPr>
    </w:p>
    <w:sectPr w:rsidR="00EF6770">
      <w:headerReference w:type="default" r:id="rId13"/>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AAA1" w14:textId="77777777" w:rsidR="00525916" w:rsidRDefault="00525916">
      <w:r>
        <w:separator/>
      </w:r>
    </w:p>
  </w:endnote>
  <w:endnote w:type="continuationSeparator" w:id="0">
    <w:p w14:paraId="7CE6A8BF" w14:textId="77777777" w:rsidR="00525916" w:rsidRDefault="0052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2FCF" w14:textId="77777777" w:rsidR="00525916" w:rsidRDefault="00525916">
      <w:r>
        <w:separator/>
      </w:r>
    </w:p>
  </w:footnote>
  <w:footnote w:type="continuationSeparator" w:id="0">
    <w:p w14:paraId="6017C65F" w14:textId="77777777" w:rsidR="00525916" w:rsidRDefault="0052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readOnly" w:enforcement="1" w:cryptProviderType="rsaAES" w:cryptAlgorithmClass="hash" w:cryptAlgorithmType="typeAny" w:cryptAlgorithmSid="14" w:cryptSpinCount="100000" w:hash="15cnX9ybx54dddytjhrzN627mrif9MyuPVOf8wLMmnhmtizz0kyPN/lCcraCfkb94niZMIij/GAUm+X4T76lbw==" w:salt="AeAjvRPuJhhc72Ybhui0iA=="/>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32D22"/>
    <w:rsid w:val="000534C1"/>
    <w:rsid w:val="00082FE0"/>
    <w:rsid w:val="000B6773"/>
    <w:rsid w:val="000D75A2"/>
    <w:rsid w:val="00153CB0"/>
    <w:rsid w:val="001A54E4"/>
    <w:rsid w:val="0028615B"/>
    <w:rsid w:val="00292A6E"/>
    <w:rsid w:val="00436AA9"/>
    <w:rsid w:val="004E47F4"/>
    <w:rsid w:val="004F1158"/>
    <w:rsid w:val="00525916"/>
    <w:rsid w:val="00595CB9"/>
    <w:rsid w:val="00597337"/>
    <w:rsid w:val="00601F93"/>
    <w:rsid w:val="0064214A"/>
    <w:rsid w:val="007034DD"/>
    <w:rsid w:val="007F5AFB"/>
    <w:rsid w:val="009A751E"/>
    <w:rsid w:val="009C7A27"/>
    <w:rsid w:val="00A152C2"/>
    <w:rsid w:val="00A53792"/>
    <w:rsid w:val="00AC5F8D"/>
    <w:rsid w:val="00AD2AF6"/>
    <w:rsid w:val="00B02239"/>
    <w:rsid w:val="00B06EB5"/>
    <w:rsid w:val="00C7218D"/>
    <w:rsid w:val="00CC331D"/>
    <w:rsid w:val="00CE7296"/>
    <w:rsid w:val="00CF68CB"/>
    <w:rsid w:val="00E6307F"/>
    <w:rsid w:val="00E71612"/>
    <w:rsid w:val="00EF6770"/>
    <w:rsid w:val="00FA167E"/>
    <w:rsid w:val="00FA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2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226"/>
    <w:pPr>
      <w:tabs>
        <w:tab w:val="center" w:pos="4680"/>
        <w:tab w:val="right" w:pos="9360"/>
      </w:tabs>
    </w:pPr>
  </w:style>
  <w:style w:type="character" w:customStyle="1" w:styleId="HeaderChar">
    <w:name w:val="Header Char"/>
    <w:basedOn w:val="DefaultParagraphFont"/>
    <w:link w:val="Header"/>
    <w:uiPriority w:val="99"/>
    <w:rsid w:val="00FA7226"/>
    <w:rPr>
      <w:rFonts w:ascii="Arial" w:eastAsia="Arial" w:hAnsi="Arial" w:cs="Arial"/>
    </w:rPr>
  </w:style>
  <w:style w:type="paragraph" w:styleId="Footer">
    <w:name w:val="footer"/>
    <w:basedOn w:val="Normal"/>
    <w:link w:val="FooterChar"/>
    <w:uiPriority w:val="99"/>
    <w:unhideWhenUsed/>
    <w:rsid w:val="00FA7226"/>
    <w:pPr>
      <w:tabs>
        <w:tab w:val="center" w:pos="4680"/>
        <w:tab w:val="right" w:pos="9360"/>
      </w:tabs>
    </w:pPr>
  </w:style>
  <w:style w:type="character" w:customStyle="1" w:styleId="FooterChar">
    <w:name w:val="Footer Char"/>
    <w:basedOn w:val="DefaultParagraphFont"/>
    <w:link w:val="Footer"/>
    <w:uiPriority w:val="99"/>
    <w:rsid w:val="00FA72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ds.delawar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ss.bonfirehub.com/" TargetMode="External"/><Relationship Id="rId12" Type="http://schemas.openxmlformats.org/officeDocument/2006/relationships/hyperlink" Target="https://vendorsupport.gobonfire.com/hc/e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GoBonfir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ss.bonfirehub.com/"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8</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26950 Appendix C</dc:title>
  <dc:creator/>
  <cp:lastModifiedBy/>
  <cp:revision>1</cp:revision>
  <dcterms:created xsi:type="dcterms:W3CDTF">2025-12-08T14:18:00Z</dcterms:created>
  <dcterms:modified xsi:type="dcterms:W3CDTF">2025-12-08T14:19:00Z</dcterms:modified>
</cp:coreProperties>
</file>