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0AA0" w14:textId="0501EADB"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00B45895">
        <w:rPr>
          <w:rFonts w:ascii="Barlow" w:hAnsi="Barlow" w:cs="Arial"/>
          <w:b/>
          <w:bCs/>
          <w:sz w:val="28"/>
          <w:szCs w:val="28"/>
        </w:rPr>
        <w:t xml:space="preserve"> C</w:t>
      </w:r>
    </w:p>
    <w:p w14:paraId="5CD6555E" w14:textId="15AD710A" w:rsidR="00EB1834" w:rsidRDefault="00724704" w:rsidP="00EB1834">
      <w:pPr>
        <w:spacing w:after="120" w:line="240" w:lineRule="auto"/>
        <w:jc w:val="center"/>
        <w:rPr>
          <w:rFonts w:ascii="Barlow" w:hAnsi="Barlow" w:cs="Arial"/>
          <w:b/>
          <w:bCs/>
          <w:sz w:val="28"/>
          <w:szCs w:val="28"/>
        </w:rPr>
      </w:pPr>
      <w:r>
        <w:rPr>
          <w:rFonts w:ascii="Barlow" w:hAnsi="Barlow" w:cs="Arial"/>
          <w:b/>
          <w:bCs/>
          <w:sz w:val="28"/>
          <w:szCs w:val="28"/>
        </w:rPr>
        <w:t>RFP EVALUATION PLAN</w:t>
      </w:r>
    </w:p>
    <w:p w14:paraId="20B39BE3" w14:textId="77777777" w:rsidR="00893789" w:rsidRDefault="00893789" w:rsidP="00893789">
      <w:pPr>
        <w:spacing w:after="0"/>
        <w:rPr>
          <w:rFonts w:ascii="Arial" w:hAnsi="Arial" w:cs="Arial"/>
          <w:b/>
          <w:bCs/>
          <w:sz w:val="20"/>
          <w:szCs w:val="20"/>
        </w:rPr>
      </w:pPr>
    </w:p>
    <w:p w14:paraId="6E1E6EAB" w14:textId="3DCADD7E" w:rsidR="00BC05C4" w:rsidRDefault="00BC05C4" w:rsidP="00893789">
      <w:pPr>
        <w:spacing w:after="0"/>
        <w:rPr>
          <w:rFonts w:ascii="Arial" w:hAnsi="Arial" w:cs="Arial"/>
          <w:b/>
          <w:bCs/>
          <w:sz w:val="20"/>
          <w:szCs w:val="20"/>
        </w:rPr>
      </w:pPr>
      <w:r>
        <w:rPr>
          <w:rFonts w:ascii="Arial" w:hAnsi="Arial" w:cs="Arial"/>
          <w:sz w:val="20"/>
          <w:szCs w:val="20"/>
        </w:rPr>
        <w:t xml:space="preserve">A </w:t>
      </w:r>
      <w:r w:rsidRPr="0073760A">
        <w:rPr>
          <w:rFonts w:ascii="Arial" w:hAnsi="Arial" w:cs="Arial"/>
          <w:sz w:val="20"/>
          <w:szCs w:val="20"/>
        </w:rPr>
        <w:t>comprehensive, thorough, complete, and impartial evaluation of each proposal received will be conducted in accordance with §24-103-203(7), C.R.S, which states, “The award shall be made to the responsible Offeror whose proposal is determined in writing to be the most advantageous to the state, taking into consideration the price and evaluation factors set forth in the request for proposal.”</w:t>
      </w:r>
    </w:p>
    <w:p w14:paraId="27BCE87E" w14:textId="77777777" w:rsidR="00BC05C4" w:rsidRDefault="00BC05C4" w:rsidP="00893789">
      <w:pPr>
        <w:spacing w:after="0"/>
        <w:rPr>
          <w:rFonts w:ascii="Arial" w:hAnsi="Arial" w:cs="Arial"/>
          <w:b/>
          <w:bCs/>
          <w:sz w:val="20"/>
          <w:szCs w:val="20"/>
        </w:rPr>
      </w:pPr>
    </w:p>
    <w:p w14:paraId="320E9714" w14:textId="0041F5AE" w:rsidR="002F3149" w:rsidRPr="002F3149" w:rsidRDefault="002F3149" w:rsidP="002F3149">
      <w:pPr>
        <w:rPr>
          <w:rFonts w:ascii="Arial" w:hAnsi="Arial" w:cs="Arial"/>
          <w:sz w:val="20"/>
          <w:szCs w:val="20"/>
        </w:rPr>
      </w:pPr>
      <w:r w:rsidRPr="002F3149">
        <w:rPr>
          <w:rFonts w:ascii="Arial" w:hAnsi="Arial" w:cs="Arial"/>
          <w:b/>
          <w:bCs/>
          <w:sz w:val="20"/>
          <w:szCs w:val="20"/>
          <w:u w:val="single"/>
        </w:rPr>
        <w:t>Stage 1: Initial Responsiveness</w:t>
      </w:r>
      <w:r w:rsidR="00C42C3A">
        <w:rPr>
          <w:rFonts w:ascii="Arial" w:hAnsi="Arial" w:cs="Arial"/>
          <w:b/>
          <w:bCs/>
          <w:sz w:val="20"/>
          <w:szCs w:val="20"/>
          <w:u w:val="single"/>
        </w:rPr>
        <w:t xml:space="preserve"> Evaluation</w:t>
      </w:r>
      <w:r w:rsidRPr="002F3149">
        <w:rPr>
          <w:rFonts w:ascii="Arial" w:hAnsi="Arial" w:cs="Arial"/>
          <w:b/>
          <w:bCs/>
          <w:sz w:val="20"/>
          <w:szCs w:val="20"/>
          <w:u w:val="single"/>
        </w:rPr>
        <w:t>.</w:t>
      </w:r>
      <w:r w:rsidRPr="002F3149">
        <w:rPr>
          <w:rFonts w:ascii="Arial" w:hAnsi="Arial" w:cs="Arial"/>
          <w:sz w:val="20"/>
          <w:szCs w:val="20"/>
        </w:rPr>
        <w:t xml:space="preserve"> Proposals will be reviewed for completeness</w:t>
      </w:r>
      <w:r w:rsidR="0099489F">
        <w:rPr>
          <w:rFonts w:ascii="Arial" w:hAnsi="Arial" w:cs="Arial"/>
          <w:sz w:val="20"/>
          <w:szCs w:val="20"/>
        </w:rPr>
        <w:t>,</w:t>
      </w:r>
      <w:r w:rsidRPr="002F3149">
        <w:rPr>
          <w:rFonts w:ascii="Arial" w:hAnsi="Arial" w:cs="Arial"/>
          <w:sz w:val="20"/>
          <w:szCs w:val="20"/>
        </w:rPr>
        <w:t xml:space="preserve"> initial responsiveness</w:t>
      </w:r>
      <w:r w:rsidR="0099489F">
        <w:rPr>
          <w:rFonts w:ascii="Arial" w:hAnsi="Arial" w:cs="Arial"/>
          <w:sz w:val="20"/>
          <w:szCs w:val="20"/>
        </w:rPr>
        <w:t>, and compliance with all mandatory requirements</w:t>
      </w:r>
      <w:r w:rsidRPr="002F3149">
        <w:rPr>
          <w:rFonts w:ascii="Arial" w:hAnsi="Arial" w:cs="Arial"/>
          <w:sz w:val="20"/>
          <w:szCs w:val="20"/>
        </w:rPr>
        <w:t>. Proposals omitting required documents or responses</w:t>
      </w:r>
      <w:r w:rsidR="0099489F">
        <w:rPr>
          <w:rFonts w:ascii="Arial" w:hAnsi="Arial" w:cs="Arial"/>
          <w:sz w:val="20"/>
          <w:szCs w:val="20"/>
        </w:rPr>
        <w:t xml:space="preserve"> or failing to meet</w:t>
      </w:r>
      <w:r w:rsidR="00E22AFE">
        <w:rPr>
          <w:rFonts w:ascii="Arial" w:hAnsi="Arial" w:cs="Arial"/>
          <w:sz w:val="20"/>
          <w:szCs w:val="20"/>
        </w:rPr>
        <w:t xml:space="preserve"> all Mandatory Requirements</w:t>
      </w:r>
      <w:r w:rsidRPr="002F3149">
        <w:rPr>
          <w:rFonts w:ascii="Arial" w:hAnsi="Arial" w:cs="Arial"/>
          <w:sz w:val="20"/>
          <w:szCs w:val="20"/>
        </w:rPr>
        <w:t xml:space="preserve"> may be rejected in accordance with Attachment </w:t>
      </w:r>
      <w:r w:rsidR="004572D7">
        <w:rPr>
          <w:rFonts w:ascii="Arial" w:hAnsi="Arial" w:cs="Arial"/>
          <w:sz w:val="20"/>
          <w:szCs w:val="20"/>
        </w:rPr>
        <w:t xml:space="preserve">A – </w:t>
      </w:r>
      <w:r w:rsidRPr="002F3149">
        <w:rPr>
          <w:rFonts w:ascii="Arial" w:hAnsi="Arial" w:cs="Arial"/>
          <w:sz w:val="20"/>
          <w:szCs w:val="20"/>
        </w:rPr>
        <w:t>RFP Terms and Conditions.</w:t>
      </w:r>
    </w:p>
    <w:p w14:paraId="486677EF" w14:textId="45AD313E" w:rsidR="002F3149" w:rsidRDefault="002F3149" w:rsidP="002F3149">
      <w:pPr>
        <w:rPr>
          <w:rFonts w:ascii="Arial" w:hAnsi="Arial" w:cs="Arial"/>
          <w:sz w:val="20"/>
          <w:szCs w:val="20"/>
        </w:rPr>
      </w:pPr>
      <w:r w:rsidRPr="002F3149">
        <w:rPr>
          <w:rFonts w:ascii="Arial" w:hAnsi="Arial" w:cs="Arial"/>
          <w:b/>
          <w:bCs/>
          <w:sz w:val="20"/>
          <w:szCs w:val="20"/>
          <w:u w:val="single"/>
        </w:rPr>
        <w:t>Mandatory Minimum Requirements</w:t>
      </w:r>
      <w:r w:rsidR="001440DF" w:rsidRPr="0043663F">
        <w:rPr>
          <w:rFonts w:ascii="Arial" w:hAnsi="Arial" w:cs="Arial"/>
          <w:b/>
          <w:bCs/>
          <w:sz w:val="20"/>
          <w:szCs w:val="20"/>
        </w:rPr>
        <w:t>:</w:t>
      </w:r>
    </w:p>
    <w:tbl>
      <w:tblPr>
        <w:tblStyle w:val="TableGrid"/>
        <w:tblW w:w="0" w:type="auto"/>
        <w:tblLook w:val="04A0" w:firstRow="1" w:lastRow="0" w:firstColumn="1" w:lastColumn="0" w:noHBand="0" w:noVBand="1"/>
      </w:tblPr>
      <w:tblGrid>
        <w:gridCol w:w="6565"/>
        <w:gridCol w:w="1710"/>
        <w:gridCol w:w="1795"/>
      </w:tblGrid>
      <w:tr w:rsidR="00840611" w14:paraId="7D86CB5E" w14:textId="77777777" w:rsidTr="007353C7">
        <w:tc>
          <w:tcPr>
            <w:tcW w:w="6565" w:type="dxa"/>
            <w:tcBorders>
              <w:left w:val="single" w:sz="4" w:space="0" w:color="auto"/>
            </w:tcBorders>
            <w:shd w:val="clear" w:color="auto" w:fill="D9D9D9" w:themeFill="background1" w:themeFillShade="D9"/>
            <w:vAlign w:val="center"/>
          </w:tcPr>
          <w:p w14:paraId="1E13F89F" w14:textId="3E4F5DA6" w:rsidR="00840611" w:rsidRPr="00E4509A" w:rsidRDefault="00840611" w:rsidP="00F53349">
            <w:pPr>
              <w:jc w:val="center"/>
              <w:rPr>
                <w:rFonts w:ascii="Arial" w:hAnsi="Arial" w:cs="Arial"/>
                <w:b/>
                <w:bCs/>
                <w:sz w:val="20"/>
                <w:szCs w:val="20"/>
              </w:rPr>
            </w:pPr>
            <w:r>
              <w:rPr>
                <w:rFonts w:ascii="Arial" w:hAnsi="Arial" w:cs="Arial"/>
                <w:b/>
                <w:bCs/>
                <w:sz w:val="20"/>
                <w:szCs w:val="20"/>
              </w:rPr>
              <w:t>Criteria</w:t>
            </w:r>
          </w:p>
        </w:tc>
        <w:tc>
          <w:tcPr>
            <w:tcW w:w="1710" w:type="dxa"/>
            <w:shd w:val="clear" w:color="auto" w:fill="D9D9D9" w:themeFill="background1" w:themeFillShade="D9"/>
            <w:vAlign w:val="center"/>
          </w:tcPr>
          <w:p w14:paraId="7F35BBB5" w14:textId="19519D46" w:rsidR="00840611" w:rsidRPr="00E4509A" w:rsidRDefault="00840611" w:rsidP="00F53349">
            <w:pPr>
              <w:jc w:val="center"/>
              <w:rPr>
                <w:rFonts w:ascii="Arial" w:hAnsi="Arial" w:cs="Arial"/>
                <w:b/>
                <w:bCs/>
                <w:sz w:val="20"/>
                <w:szCs w:val="20"/>
              </w:rPr>
            </w:pPr>
            <w:r>
              <w:rPr>
                <w:rFonts w:ascii="Arial" w:hAnsi="Arial" w:cs="Arial"/>
                <w:b/>
                <w:bCs/>
                <w:sz w:val="20"/>
                <w:szCs w:val="20"/>
              </w:rPr>
              <w:t>Evaluation</w:t>
            </w:r>
          </w:p>
        </w:tc>
        <w:tc>
          <w:tcPr>
            <w:tcW w:w="1795" w:type="dxa"/>
            <w:tcBorders>
              <w:bottom w:val="single" w:sz="4" w:space="0" w:color="auto"/>
              <w:right w:val="single" w:sz="4" w:space="0" w:color="auto"/>
            </w:tcBorders>
            <w:shd w:val="clear" w:color="auto" w:fill="D9D9D9" w:themeFill="background1" w:themeFillShade="D9"/>
            <w:vAlign w:val="center"/>
          </w:tcPr>
          <w:p w14:paraId="4B6F07B0" w14:textId="2BCBCE40" w:rsidR="00840611" w:rsidRPr="00E4509A" w:rsidRDefault="00840611" w:rsidP="00F53349">
            <w:pPr>
              <w:jc w:val="center"/>
              <w:rPr>
                <w:rFonts w:ascii="Arial" w:hAnsi="Arial" w:cs="Arial"/>
                <w:b/>
                <w:bCs/>
                <w:sz w:val="20"/>
                <w:szCs w:val="20"/>
              </w:rPr>
            </w:pPr>
            <w:r>
              <w:rPr>
                <w:rFonts w:ascii="Arial" w:hAnsi="Arial" w:cs="Arial"/>
                <w:b/>
                <w:bCs/>
                <w:sz w:val="20"/>
                <w:szCs w:val="20"/>
              </w:rPr>
              <w:t>Result</w:t>
            </w:r>
          </w:p>
        </w:tc>
      </w:tr>
      <w:tr w:rsidR="00840611" w14:paraId="1CBDE291" w14:textId="77777777" w:rsidTr="007353C7">
        <w:tc>
          <w:tcPr>
            <w:tcW w:w="6565" w:type="dxa"/>
            <w:tcBorders>
              <w:left w:val="single" w:sz="4" w:space="0" w:color="auto"/>
            </w:tcBorders>
            <w:vAlign w:val="center"/>
          </w:tcPr>
          <w:p w14:paraId="3734CC96" w14:textId="17C75913" w:rsidR="00840611" w:rsidRDefault="003442E9" w:rsidP="00F53349">
            <w:pPr>
              <w:rPr>
                <w:rFonts w:ascii="Arial" w:hAnsi="Arial" w:cs="Arial"/>
                <w:sz w:val="20"/>
                <w:szCs w:val="20"/>
              </w:rPr>
            </w:pPr>
            <w:r w:rsidRPr="00980736">
              <w:rPr>
                <w:rFonts w:ascii="Arial" w:hAnsi="Arial" w:cs="Arial"/>
                <w:sz w:val="20"/>
                <w:szCs w:val="20"/>
              </w:rPr>
              <w:t xml:space="preserve">Standards </w:t>
            </w:r>
            <w:r w:rsidR="00767107" w:rsidRPr="00980736">
              <w:rPr>
                <w:rFonts w:ascii="Arial" w:hAnsi="Arial" w:cs="Arial"/>
                <w:sz w:val="20"/>
                <w:szCs w:val="20"/>
              </w:rPr>
              <w:t>C</w:t>
            </w:r>
            <w:r w:rsidRPr="00980736">
              <w:rPr>
                <w:rFonts w:ascii="Arial" w:hAnsi="Arial" w:cs="Arial"/>
                <w:sz w:val="20"/>
                <w:szCs w:val="20"/>
              </w:rPr>
              <w:t>ompliance</w:t>
            </w:r>
            <w:r w:rsidR="0099780E" w:rsidRPr="00980736">
              <w:rPr>
                <w:rFonts w:ascii="Arial" w:hAnsi="Arial" w:cs="Arial"/>
                <w:sz w:val="20"/>
                <w:szCs w:val="20"/>
              </w:rPr>
              <w:t xml:space="preserve"> </w:t>
            </w:r>
            <w:r w:rsidR="00767107" w:rsidRPr="00980736">
              <w:rPr>
                <w:rFonts w:ascii="Arial" w:hAnsi="Arial" w:cs="Arial"/>
                <w:sz w:val="20"/>
                <w:szCs w:val="20"/>
              </w:rPr>
              <w:t>–</w:t>
            </w:r>
            <w:r w:rsidR="00767107">
              <w:rPr>
                <w:rFonts w:ascii="Arial" w:hAnsi="Arial" w:cs="Arial"/>
                <w:sz w:val="20"/>
                <w:szCs w:val="20"/>
              </w:rPr>
              <w:t xml:space="preserve"> </w:t>
            </w:r>
            <w:r w:rsidR="0099780E">
              <w:rPr>
                <w:rFonts w:ascii="Arial" w:hAnsi="Arial" w:cs="Arial"/>
                <w:sz w:val="20"/>
                <w:szCs w:val="20"/>
              </w:rPr>
              <w:t>Must have products on</w:t>
            </w:r>
            <w:r w:rsidR="00C81482">
              <w:rPr>
                <w:rFonts w:ascii="Arial" w:hAnsi="Arial" w:cs="Arial"/>
                <w:sz w:val="20"/>
                <w:szCs w:val="20"/>
              </w:rPr>
              <w:t>,</w:t>
            </w:r>
            <w:r w:rsidR="0038321E">
              <w:rPr>
                <w:rFonts w:ascii="Arial" w:hAnsi="Arial" w:cs="Arial"/>
                <w:sz w:val="20"/>
                <w:szCs w:val="20"/>
              </w:rPr>
              <w:t xml:space="preserve"> or in </w:t>
            </w:r>
            <w:r w:rsidR="00175A64">
              <w:rPr>
                <w:rFonts w:ascii="Arial" w:hAnsi="Arial" w:cs="Arial"/>
                <w:sz w:val="20"/>
                <w:szCs w:val="20"/>
              </w:rPr>
              <w:t>the process of being</w:t>
            </w:r>
            <w:r w:rsidR="0038321E">
              <w:rPr>
                <w:rFonts w:ascii="Arial" w:hAnsi="Arial" w:cs="Arial"/>
                <w:sz w:val="20"/>
                <w:szCs w:val="20"/>
              </w:rPr>
              <w:t xml:space="preserve"> on</w:t>
            </w:r>
            <w:r w:rsidR="00C81482">
              <w:rPr>
                <w:rFonts w:ascii="Arial" w:hAnsi="Arial" w:cs="Arial"/>
                <w:sz w:val="20"/>
                <w:szCs w:val="20"/>
              </w:rPr>
              <w:t>,</w:t>
            </w:r>
            <w:r w:rsidR="0038321E">
              <w:rPr>
                <w:rFonts w:ascii="Arial" w:hAnsi="Arial" w:cs="Arial"/>
                <w:sz w:val="20"/>
                <w:szCs w:val="20"/>
              </w:rPr>
              <w:t xml:space="preserve"> </w:t>
            </w:r>
            <w:r w:rsidR="0099780E">
              <w:rPr>
                <w:rFonts w:ascii="Arial" w:hAnsi="Arial" w:cs="Arial"/>
                <w:sz w:val="20"/>
                <w:szCs w:val="20"/>
              </w:rPr>
              <w:t>the NIJ Certified Products List (</w:t>
            </w:r>
            <w:r w:rsidR="00767107">
              <w:rPr>
                <w:rFonts w:ascii="Arial" w:hAnsi="Arial" w:cs="Arial"/>
                <w:sz w:val="20"/>
                <w:szCs w:val="20"/>
              </w:rPr>
              <w:t xml:space="preserve">NIJ </w:t>
            </w:r>
            <w:r w:rsidR="0099780E">
              <w:rPr>
                <w:rFonts w:ascii="Arial" w:hAnsi="Arial" w:cs="Arial"/>
                <w:sz w:val="20"/>
                <w:szCs w:val="20"/>
              </w:rPr>
              <w:t>CPL)</w:t>
            </w:r>
            <w:r w:rsidR="002252E4">
              <w:rPr>
                <w:rFonts w:ascii="Arial" w:hAnsi="Arial" w:cs="Arial"/>
                <w:sz w:val="20"/>
                <w:szCs w:val="20"/>
              </w:rPr>
              <w:t xml:space="preserve"> and/or </w:t>
            </w:r>
            <w:r w:rsidR="002561D8">
              <w:rPr>
                <w:rFonts w:ascii="Arial" w:hAnsi="Arial" w:cs="Arial"/>
                <w:sz w:val="20"/>
                <w:szCs w:val="20"/>
              </w:rPr>
              <w:t>on the ASTM Verified Products List</w:t>
            </w:r>
            <w:r w:rsidR="00240F4F">
              <w:rPr>
                <w:rFonts w:ascii="Arial" w:hAnsi="Arial" w:cs="Arial"/>
                <w:sz w:val="20"/>
                <w:szCs w:val="20"/>
              </w:rPr>
              <w:t xml:space="preserve"> by the RFP Close date</w:t>
            </w:r>
            <w:r w:rsidR="0099780E">
              <w:rPr>
                <w:rFonts w:ascii="Arial" w:hAnsi="Arial" w:cs="Arial"/>
                <w:sz w:val="20"/>
                <w:szCs w:val="20"/>
              </w:rPr>
              <w:t>.</w:t>
            </w:r>
          </w:p>
        </w:tc>
        <w:tc>
          <w:tcPr>
            <w:tcW w:w="1710" w:type="dxa"/>
            <w:vAlign w:val="center"/>
          </w:tcPr>
          <w:p w14:paraId="7F995EA5" w14:textId="205AC80D" w:rsidR="00840611" w:rsidRDefault="00840611" w:rsidP="00F53349">
            <w:pPr>
              <w:jc w:val="center"/>
              <w:rPr>
                <w:rFonts w:ascii="Arial" w:hAnsi="Arial" w:cs="Arial"/>
                <w:sz w:val="20"/>
                <w:szCs w:val="20"/>
              </w:rPr>
            </w:pPr>
            <w:r>
              <w:rPr>
                <w:rFonts w:ascii="Arial" w:hAnsi="Arial" w:cs="Arial"/>
                <w:sz w:val="20"/>
                <w:szCs w:val="20"/>
              </w:rPr>
              <w:t>Pass/</w:t>
            </w:r>
            <w:r w:rsidR="007353C7">
              <w:rPr>
                <w:rFonts w:ascii="Arial" w:hAnsi="Arial" w:cs="Arial"/>
                <w:sz w:val="20"/>
                <w:szCs w:val="20"/>
              </w:rPr>
              <w:t>F</w:t>
            </w:r>
            <w:r>
              <w:rPr>
                <w:rFonts w:ascii="Arial" w:hAnsi="Arial" w:cs="Arial"/>
                <w:sz w:val="20"/>
                <w:szCs w:val="20"/>
              </w:rPr>
              <w:t>ail</w:t>
            </w:r>
          </w:p>
        </w:tc>
        <w:tc>
          <w:tcPr>
            <w:tcW w:w="1795" w:type="dxa"/>
            <w:tcBorders>
              <w:right w:val="single" w:sz="4" w:space="0" w:color="auto"/>
            </w:tcBorders>
            <w:vAlign w:val="center"/>
          </w:tcPr>
          <w:p w14:paraId="39D0DD13" w14:textId="77777777" w:rsidR="00840611" w:rsidRDefault="00840611" w:rsidP="00F53349">
            <w:pPr>
              <w:jc w:val="center"/>
              <w:rPr>
                <w:rFonts w:ascii="Arial" w:hAnsi="Arial" w:cs="Arial"/>
                <w:sz w:val="20"/>
                <w:szCs w:val="20"/>
              </w:rPr>
            </w:pPr>
          </w:p>
        </w:tc>
      </w:tr>
      <w:tr w:rsidR="00840611" w14:paraId="7B5D9AD4" w14:textId="77777777" w:rsidTr="007353C7">
        <w:tc>
          <w:tcPr>
            <w:tcW w:w="6565" w:type="dxa"/>
            <w:tcBorders>
              <w:left w:val="single" w:sz="4" w:space="0" w:color="auto"/>
            </w:tcBorders>
            <w:vAlign w:val="center"/>
          </w:tcPr>
          <w:p w14:paraId="3BA9A526" w14:textId="021D163D" w:rsidR="00840611" w:rsidRDefault="007353C7" w:rsidP="00F53349">
            <w:pPr>
              <w:rPr>
                <w:rFonts w:ascii="Arial" w:hAnsi="Arial" w:cs="Arial"/>
                <w:sz w:val="20"/>
                <w:szCs w:val="20"/>
              </w:rPr>
            </w:pPr>
            <w:r>
              <w:rPr>
                <w:rFonts w:ascii="Arial" w:hAnsi="Arial" w:cs="Arial"/>
                <w:sz w:val="20"/>
                <w:szCs w:val="20"/>
              </w:rPr>
              <w:t xml:space="preserve">Offeror must submit a completed and signed </w:t>
            </w:r>
            <w:r w:rsidRPr="007746DE">
              <w:rPr>
                <w:rFonts w:ascii="Arial" w:hAnsi="Arial" w:cs="Arial"/>
                <w:sz w:val="20"/>
                <w:szCs w:val="20"/>
              </w:rPr>
              <w:t>Offeror Information, Acknowledgements, and Certifications</w:t>
            </w:r>
            <w:r>
              <w:rPr>
                <w:rFonts w:ascii="Arial" w:hAnsi="Arial" w:cs="Arial"/>
                <w:sz w:val="20"/>
                <w:szCs w:val="20"/>
              </w:rPr>
              <w:t xml:space="preserve"> - </w:t>
            </w:r>
            <w:r w:rsidRPr="00834D45">
              <w:rPr>
                <w:rFonts w:ascii="Arial" w:hAnsi="Arial" w:cs="Arial"/>
                <w:b/>
                <w:bCs/>
                <w:sz w:val="20"/>
                <w:szCs w:val="20"/>
              </w:rPr>
              <w:t>Attachment G</w:t>
            </w:r>
            <w:r>
              <w:rPr>
                <w:rFonts w:ascii="Arial" w:hAnsi="Arial" w:cs="Arial"/>
                <w:sz w:val="20"/>
                <w:szCs w:val="20"/>
              </w:rPr>
              <w:t xml:space="preserve"> as outlined in the RFP.</w:t>
            </w:r>
          </w:p>
        </w:tc>
        <w:tc>
          <w:tcPr>
            <w:tcW w:w="1710" w:type="dxa"/>
            <w:vAlign w:val="center"/>
          </w:tcPr>
          <w:p w14:paraId="76317FCA" w14:textId="1953FA32" w:rsidR="00840611" w:rsidRDefault="007353C7" w:rsidP="00F53349">
            <w:pPr>
              <w:jc w:val="center"/>
              <w:rPr>
                <w:rFonts w:ascii="Arial" w:hAnsi="Arial" w:cs="Arial"/>
                <w:sz w:val="20"/>
                <w:szCs w:val="20"/>
              </w:rPr>
            </w:pPr>
            <w:r>
              <w:rPr>
                <w:rFonts w:ascii="Arial" w:hAnsi="Arial" w:cs="Arial"/>
                <w:sz w:val="20"/>
                <w:szCs w:val="20"/>
              </w:rPr>
              <w:t>Pass/Fail</w:t>
            </w:r>
          </w:p>
        </w:tc>
        <w:tc>
          <w:tcPr>
            <w:tcW w:w="1795" w:type="dxa"/>
            <w:tcBorders>
              <w:right w:val="single" w:sz="4" w:space="0" w:color="auto"/>
            </w:tcBorders>
            <w:vAlign w:val="center"/>
          </w:tcPr>
          <w:p w14:paraId="6400522E" w14:textId="77777777" w:rsidR="00840611" w:rsidRDefault="00840611" w:rsidP="00F53349">
            <w:pPr>
              <w:jc w:val="center"/>
              <w:rPr>
                <w:rFonts w:ascii="Arial" w:hAnsi="Arial" w:cs="Arial"/>
                <w:sz w:val="20"/>
                <w:szCs w:val="20"/>
              </w:rPr>
            </w:pPr>
          </w:p>
        </w:tc>
      </w:tr>
      <w:tr w:rsidR="00840611" w14:paraId="379B9EC7" w14:textId="77777777" w:rsidTr="007353C7">
        <w:tc>
          <w:tcPr>
            <w:tcW w:w="6565" w:type="dxa"/>
            <w:tcBorders>
              <w:left w:val="single" w:sz="4" w:space="0" w:color="auto"/>
            </w:tcBorders>
            <w:vAlign w:val="center"/>
          </w:tcPr>
          <w:p w14:paraId="5109BB57" w14:textId="3EA3FDF1" w:rsidR="00840611" w:rsidRDefault="007353C7" w:rsidP="00F53349">
            <w:pPr>
              <w:rPr>
                <w:rFonts w:ascii="Arial" w:hAnsi="Arial" w:cs="Arial"/>
                <w:sz w:val="20"/>
                <w:szCs w:val="20"/>
              </w:rPr>
            </w:pPr>
            <w:bookmarkStart w:id="0" w:name="_Hlk143764787"/>
            <w:r>
              <w:rPr>
                <w:rFonts w:ascii="Arial" w:hAnsi="Arial" w:cs="Arial"/>
                <w:sz w:val="20"/>
                <w:szCs w:val="20"/>
              </w:rPr>
              <w:t xml:space="preserve">Offeror must submit a completed Offeror Response Worksheet - </w:t>
            </w:r>
            <w:r w:rsidRPr="004F4BCB">
              <w:rPr>
                <w:rFonts w:ascii="Arial" w:hAnsi="Arial" w:cs="Arial"/>
                <w:b/>
                <w:bCs/>
                <w:sz w:val="20"/>
                <w:szCs w:val="20"/>
              </w:rPr>
              <w:t xml:space="preserve">Attachment </w:t>
            </w:r>
            <w:bookmarkEnd w:id="0"/>
            <w:r w:rsidRPr="004F4BCB">
              <w:rPr>
                <w:rFonts w:ascii="Arial" w:hAnsi="Arial" w:cs="Arial"/>
                <w:b/>
                <w:bCs/>
                <w:sz w:val="20"/>
                <w:szCs w:val="20"/>
              </w:rPr>
              <w:t>H</w:t>
            </w:r>
            <w:r>
              <w:rPr>
                <w:rFonts w:ascii="Arial" w:hAnsi="Arial" w:cs="Arial"/>
                <w:sz w:val="20"/>
                <w:szCs w:val="20"/>
              </w:rPr>
              <w:t xml:space="preserve"> as outlined in the RFP.</w:t>
            </w:r>
          </w:p>
        </w:tc>
        <w:tc>
          <w:tcPr>
            <w:tcW w:w="1710" w:type="dxa"/>
            <w:vAlign w:val="center"/>
          </w:tcPr>
          <w:p w14:paraId="7D64CA0D" w14:textId="583A0826" w:rsidR="00840611" w:rsidRDefault="007353C7" w:rsidP="00F53349">
            <w:pPr>
              <w:jc w:val="center"/>
              <w:rPr>
                <w:rFonts w:ascii="Arial" w:hAnsi="Arial" w:cs="Arial"/>
                <w:sz w:val="20"/>
                <w:szCs w:val="20"/>
              </w:rPr>
            </w:pPr>
            <w:r>
              <w:rPr>
                <w:rFonts w:ascii="Arial" w:hAnsi="Arial" w:cs="Arial"/>
                <w:sz w:val="20"/>
                <w:szCs w:val="20"/>
              </w:rPr>
              <w:t>Pass/Fail</w:t>
            </w:r>
          </w:p>
        </w:tc>
        <w:tc>
          <w:tcPr>
            <w:tcW w:w="1795" w:type="dxa"/>
            <w:tcBorders>
              <w:right w:val="single" w:sz="4" w:space="0" w:color="auto"/>
            </w:tcBorders>
            <w:vAlign w:val="center"/>
          </w:tcPr>
          <w:p w14:paraId="1EA83F93" w14:textId="77777777" w:rsidR="00840611" w:rsidRDefault="00840611" w:rsidP="00F53349">
            <w:pPr>
              <w:jc w:val="center"/>
              <w:rPr>
                <w:rFonts w:ascii="Arial" w:hAnsi="Arial" w:cs="Arial"/>
                <w:sz w:val="20"/>
                <w:szCs w:val="20"/>
              </w:rPr>
            </w:pPr>
          </w:p>
        </w:tc>
      </w:tr>
      <w:tr w:rsidR="00840611" w14:paraId="370FD2D1" w14:textId="77777777" w:rsidTr="007353C7">
        <w:tc>
          <w:tcPr>
            <w:tcW w:w="6565" w:type="dxa"/>
            <w:tcBorders>
              <w:left w:val="single" w:sz="4" w:space="0" w:color="auto"/>
            </w:tcBorders>
            <w:vAlign w:val="center"/>
          </w:tcPr>
          <w:p w14:paraId="682710DB" w14:textId="72DB2CBB" w:rsidR="00840611" w:rsidRDefault="007353C7" w:rsidP="00F53349">
            <w:pPr>
              <w:rPr>
                <w:rFonts w:ascii="Arial" w:hAnsi="Arial" w:cs="Arial"/>
                <w:sz w:val="20"/>
                <w:szCs w:val="20"/>
              </w:rPr>
            </w:pPr>
            <w:r>
              <w:rPr>
                <w:rFonts w:ascii="Arial" w:hAnsi="Arial" w:cs="Arial"/>
                <w:sz w:val="20"/>
                <w:szCs w:val="20"/>
              </w:rPr>
              <w:t xml:space="preserve">Offeror must submit a completed Cost Proposal – </w:t>
            </w:r>
            <w:r w:rsidRPr="004F4BCB">
              <w:rPr>
                <w:rFonts w:ascii="Arial" w:hAnsi="Arial" w:cs="Arial"/>
                <w:b/>
                <w:bCs/>
                <w:sz w:val="20"/>
                <w:szCs w:val="20"/>
              </w:rPr>
              <w:t>Attachment I</w:t>
            </w:r>
            <w:r>
              <w:rPr>
                <w:rFonts w:ascii="Arial" w:hAnsi="Arial" w:cs="Arial"/>
                <w:sz w:val="20"/>
                <w:szCs w:val="20"/>
              </w:rPr>
              <w:t xml:space="preserve"> as outlined in the RFP.</w:t>
            </w:r>
          </w:p>
        </w:tc>
        <w:tc>
          <w:tcPr>
            <w:tcW w:w="1710" w:type="dxa"/>
            <w:tcBorders>
              <w:bottom w:val="single" w:sz="4" w:space="0" w:color="auto"/>
            </w:tcBorders>
            <w:vAlign w:val="center"/>
          </w:tcPr>
          <w:p w14:paraId="3DBE9639" w14:textId="463E9B26" w:rsidR="00840611" w:rsidRDefault="007353C7" w:rsidP="00F53349">
            <w:pPr>
              <w:jc w:val="center"/>
              <w:rPr>
                <w:rFonts w:ascii="Arial" w:hAnsi="Arial" w:cs="Arial"/>
                <w:sz w:val="20"/>
                <w:szCs w:val="20"/>
              </w:rPr>
            </w:pPr>
            <w:r>
              <w:rPr>
                <w:rFonts w:ascii="Arial" w:hAnsi="Arial" w:cs="Arial"/>
                <w:sz w:val="20"/>
                <w:szCs w:val="20"/>
              </w:rPr>
              <w:t>Pass/Fail</w:t>
            </w:r>
          </w:p>
        </w:tc>
        <w:tc>
          <w:tcPr>
            <w:tcW w:w="1795" w:type="dxa"/>
            <w:tcBorders>
              <w:bottom w:val="single" w:sz="4" w:space="0" w:color="auto"/>
              <w:right w:val="single" w:sz="4" w:space="0" w:color="auto"/>
            </w:tcBorders>
            <w:vAlign w:val="center"/>
          </w:tcPr>
          <w:p w14:paraId="5395DB6D" w14:textId="77777777" w:rsidR="00840611" w:rsidRDefault="00840611" w:rsidP="00F53349">
            <w:pPr>
              <w:jc w:val="center"/>
              <w:rPr>
                <w:rFonts w:ascii="Arial" w:hAnsi="Arial" w:cs="Arial"/>
                <w:sz w:val="20"/>
                <w:szCs w:val="20"/>
              </w:rPr>
            </w:pPr>
          </w:p>
        </w:tc>
      </w:tr>
      <w:tr w:rsidR="007353C7" w14:paraId="7EF60EFF" w14:textId="77777777" w:rsidTr="007353C7">
        <w:tc>
          <w:tcPr>
            <w:tcW w:w="6565" w:type="dxa"/>
            <w:tcBorders>
              <w:left w:val="single" w:sz="4" w:space="0" w:color="auto"/>
            </w:tcBorders>
            <w:vAlign w:val="center"/>
          </w:tcPr>
          <w:p w14:paraId="4C50A48A" w14:textId="443E3279" w:rsidR="007353C7" w:rsidRDefault="007353C7" w:rsidP="00F53349">
            <w:pPr>
              <w:rPr>
                <w:rFonts w:ascii="Arial" w:hAnsi="Arial" w:cs="Arial"/>
                <w:sz w:val="20"/>
                <w:szCs w:val="20"/>
              </w:rPr>
            </w:pPr>
            <w:r>
              <w:rPr>
                <w:rFonts w:ascii="Arial" w:hAnsi="Arial" w:cs="Arial"/>
                <w:sz w:val="20"/>
                <w:szCs w:val="20"/>
              </w:rPr>
              <w:t>Offeror must submit a completed Proposed Modifications</w:t>
            </w:r>
            <w:r w:rsidRPr="003B51D9">
              <w:rPr>
                <w:rFonts w:ascii="Arial" w:hAnsi="Arial" w:cs="Arial"/>
                <w:sz w:val="20"/>
                <w:szCs w:val="20"/>
              </w:rPr>
              <w:t xml:space="preserve"> to Sample Master Agreement</w:t>
            </w:r>
            <w:r>
              <w:rPr>
                <w:rFonts w:ascii="Arial" w:hAnsi="Arial" w:cs="Arial"/>
                <w:sz w:val="20"/>
                <w:szCs w:val="20"/>
              </w:rPr>
              <w:t xml:space="preserve"> – </w:t>
            </w:r>
            <w:r w:rsidRPr="004F4BCB">
              <w:rPr>
                <w:rFonts w:ascii="Arial" w:hAnsi="Arial" w:cs="Arial"/>
                <w:b/>
                <w:bCs/>
                <w:sz w:val="20"/>
                <w:szCs w:val="20"/>
              </w:rPr>
              <w:t>Attachment J</w:t>
            </w:r>
            <w:r>
              <w:rPr>
                <w:rFonts w:ascii="Arial" w:hAnsi="Arial" w:cs="Arial"/>
                <w:sz w:val="20"/>
                <w:szCs w:val="20"/>
              </w:rPr>
              <w:t xml:space="preserve"> as outlined in the RFP.  If proposing modifications, a redlined copy of the Sample Master Agreement – </w:t>
            </w:r>
            <w:r w:rsidRPr="004F4BCB">
              <w:rPr>
                <w:rFonts w:ascii="Arial" w:hAnsi="Arial" w:cs="Arial"/>
                <w:b/>
                <w:bCs/>
                <w:sz w:val="20"/>
                <w:szCs w:val="20"/>
              </w:rPr>
              <w:t>Attachment D</w:t>
            </w:r>
            <w:r>
              <w:rPr>
                <w:rFonts w:ascii="Arial" w:hAnsi="Arial" w:cs="Arial"/>
                <w:sz w:val="20"/>
                <w:szCs w:val="20"/>
              </w:rPr>
              <w:t xml:space="preserve"> must also be submitted as outlined in the RFP.</w:t>
            </w:r>
          </w:p>
        </w:tc>
        <w:tc>
          <w:tcPr>
            <w:tcW w:w="1710" w:type="dxa"/>
            <w:tcBorders>
              <w:bottom w:val="single" w:sz="4" w:space="0" w:color="auto"/>
            </w:tcBorders>
            <w:vAlign w:val="center"/>
          </w:tcPr>
          <w:p w14:paraId="4CC5317A" w14:textId="6AD2DDA3" w:rsidR="007353C7" w:rsidRDefault="007353C7" w:rsidP="00F53349">
            <w:pPr>
              <w:jc w:val="center"/>
              <w:rPr>
                <w:rFonts w:ascii="Arial" w:hAnsi="Arial" w:cs="Arial"/>
                <w:sz w:val="20"/>
                <w:szCs w:val="20"/>
              </w:rPr>
            </w:pPr>
            <w:r>
              <w:rPr>
                <w:rFonts w:ascii="Arial" w:hAnsi="Arial" w:cs="Arial"/>
                <w:sz w:val="20"/>
                <w:szCs w:val="20"/>
              </w:rPr>
              <w:t>Pass/Fail</w:t>
            </w:r>
          </w:p>
        </w:tc>
        <w:tc>
          <w:tcPr>
            <w:tcW w:w="1795" w:type="dxa"/>
            <w:tcBorders>
              <w:bottom w:val="single" w:sz="4" w:space="0" w:color="auto"/>
              <w:right w:val="single" w:sz="4" w:space="0" w:color="auto"/>
            </w:tcBorders>
            <w:vAlign w:val="center"/>
          </w:tcPr>
          <w:p w14:paraId="4407EC03" w14:textId="77777777" w:rsidR="007353C7" w:rsidRDefault="007353C7" w:rsidP="00F53349">
            <w:pPr>
              <w:jc w:val="center"/>
              <w:rPr>
                <w:rFonts w:ascii="Arial" w:hAnsi="Arial" w:cs="Arial"/>
                <w:sz w:val="20"/>
                <w:szCs w:val="20"/>
              </w:rPr>
            </w:pPr>
          </w:p>
        </w:tc>
      </w:tr>
      <w:tr w:rsidR="007353C7" w14:paraId="29FB631E" w14:textId="77777777" w:rsidTr="007353C7">
        <w:tc>
          <w:tcPr>
            <w:tcW w:w="6565" w:type="dxa"/>
            <w:tcBorders>
              <w:left w:val="single" w:sz="4" w:space="0" w:color="auto"/>
            </w:tcBorders>
            <w:vAlign w:val="center"/>
          </w:tcPr>
          <w:p w14:paraId="732DF13A" w14:textId="6811FCE6" w:rsidR="007353C7" w:rsidRDefault="007353C7" w:rsidP="00F53349">
            <w:pPr>
              <w:rPr>
                <w:rFonts w:ascii="Arial" w:hAnsi="Arial" w:cs="Arial"/>
                <w:sz w:val="20"/>
                <w:szCs w:val="20"/>
              </w:rPr>
            </w:pPr>
            <w:r>
              <w:rPr>
                <w:rFonts w:ascii="Arial" w:hAnsi="Arial" w:cs="Arial"/>
                <w:sz w:val="20"/>
                <w:szCs w:val="20"/>
              </w:rPr>
              <w:t xml:space="preserve">Offeror must submit a completed Claim of Business Confidentiality – </w:t>
            </w:r>
            <w:r w:rsidRPr="004F4BCB">
              <w:rPr>
                <w:rFonts w:ascii="Arial" w:hAnsi="Arial" w:cs="Arial"/>
                <w:b/>
                <w:bCs/>
                <w:sz w:val="20"/>
                <w:szCs w:val="20"/>
              </w:rPr>
              <w:t xml:space="preserve">Attachment </w:t>
            </w:r>
            <w:r>
              <w:rPr>
                <w:rFonts w:ascii="Arial" w:hAnsi="Arial" w:cs="Arial"/>
                <w:b/>
                <w:bCs/>
                <w:sz w:val="20"/>
                <w:szCs w:val="20"/>
              </w:rPr>
              <w:t>K</w:t>
            </w:r>
            <w:r w:rsidR="00D60B67">
              <w:rPr>
                <w:rFonts w:ascii="Arial" w:hAnsi="Arial" w:cs="Arial"/>
                <w:b/>
                <w:bCs/>
                <w:sz w:val="20"/>
                <w:szCs w:val="20"/>
              </w:rPr>
              <w:t xml:space="preserve">.  </w:t>
            </w:r>
            <w:r w:rsidR="00D60B67">
              <w:rPr>
                <w:rFonts w:ascii="Arial" w:hAnsi="Arial" w:cs="Arial"/>
                <w:sz w:val="20"/>
                <w:szCs w:val="20"/>
              </w:rPr>
              <w:t>If</w:t>
            </w:r>
            <w:r w:rsidR="00D60B67" w:rsidRPr="003B51D9">
              <w:rPr>
                <w:rFonts w:ascii="Arial" w:hAnsi="Arial" w:cs="Arial"/>
                <w:sz w:val="20"/>
                <w:szCs w:val="20"/>
              </w:rPr>
              <w:t xml:space="preserve"> claiming confidential, proprietary, or protected information</w:t>
            </w:r>
            <w:r w:rsidR="00D60B67">
              <w:rPr>
                <w:rFonts w:ascii="Arial" w:hAnsi="Arial" w:cs="Arial"/>
                <w:sz w:val="20"/>
                <w:szCs w:val="20"/>
              </w:rPr>
              <w:t xml:space="preserve">, </w:t>
            </w:r>
            <w:r>
              <w:rPr>
                <w:rFonts w:ascii="Arial" w:hAnsi="Arial" w:cs="Arial"/>
                <w:sz w:val="20"/>
                <w:szCs w:val="20"/>
              </w:rPr>
              <w:t xml:space="preserve">a </w:t>
            </w:r>
            <w:r w:rsidRPr="004F4BCB">
              <w:rPr>
                <w:rFonts w:ascii="Arial" w:hAnsi="Arial" w:cs="Arial"/>
                <w:b/>
                <w:bCs/>
                <w:sz w:val="20"/>
                <w:szCs w:val="20"/>
              </w:rPr>
              <w:t xml:space="preserve">redacted copy of the </w:t>
            </w:r>
            <w:r>
              <w:rPr>
                <w:rFonts w:ascii="Arial" w:hAnsi="Arial" w:cs="Arial"/>
                <w:b/>
                <w:bCs/>
                <w:sz w:val="20"/>
                <w:szCs w:val="20"/>
              </w:rPr>
              <w:t>P</w:t>
            </w:r>
            <w:r w:rsidRPr="004F4BCB">
              <w:rPr>
                <w:rFonts w:ascii="Arial" w:hAnsi="Arial" w:cs="Arial"/>
                <w:b/>
                <w:bCs/>
                <w:sz w:val="20"/>
                <w:szCs w:val="20"/>
              </w:rPr>
              <w:t>roposal</w:t>
            </w:r>
            <w:r w:rsidRPr="003B51D9">
              <w:rPr>
                <w:rFonts w:ascii="Arial" w:hAnsi="Arial" w:cs="Arial"/>
                <w:sz w:val="20"/>
                <w:szCs w:val="20"/>
              </w:rPr>
              <w:t xml:space="preserve"> clearly marked as such</w:t>
            </w:r>
            <w:r w:rsidR="00D60B67">
              <w:rPr>
                <w:rFonts w:ascii="Arial" w:hAnsi="Arial" w:cs="Arial"/>
                <w:sz w:val="20"/>
                <w:szCs w:val="20"/>
              </w:rPr>
              <w:t xml:space="preserve"> must also be submitted</w:t>
            </w:r>
            <w:r>
              <w:rPr>
                <w:rFonts w:ascii="Arial" w:hAnsi="Arial" w:cs="Arial"/>
                <w:sz w:val="20"/>
                <w:szCs w:val="20"/>
              </w:rPr>
              <w:t xml:space="preserve"> as outlined in the RFP.</w:t>
            </w:r>
          </w:p>
        </w:tc>
        <w:tc>
          <w:tcPr>
            <w:tcW w:w="1710" w:type="dxa"/>
            <w:tcBorders>
              <w:bottom w:val="single" w:sz="4" w:space="0" w:color="auto"/>
            </w:tcBorders>
            <w:vAlign w:val="center"/>
          </w:tcPr>
          <w:p w14:paraId="448C2F83" w14:textId="368DB871" w:rsidR="007353C7" w:rsidRDefault="007353C7" w:rsidP="00F53349">
            <w:pPr>
              <w:jc w:val="center"/>
              <w:rPr>
                <w:rFonts w:ascii="Arial" w:hAnsi="Arial" w:cs="Arial"/>
                <w:sz w:val="20"/>
                <w:szCs w:val="20"/>
              </w:rPr>
            </w:pPr>
            <w:r>
              <w:rPr>
                <w:rFonts w:ascii="Arial" w:hAnsi="Arial" w:cs="Arial"/>
                <w:sz w:val="20"/>
                <w:szCs w:val="20"/>
              </w:rPr>
              <w:t>Pass/Fail</w:t>
            </w:r>
          </w:p>
        </w:tc>
        <w:tc>
          <w:tcPr>
            <w:tcW w:w="1795" w:type="dxa"/>
            <w:tcBorders>
              <w:bottom w:val="single" w:sz="4" w:space="0" w:color="auto"/>
              <w:right w:val="single" w:sz="4" w:space="0" w:color="auto"/>
            </w:tcBorders>
            <w:vAlign w:val="center"/>
          </w:tcPr>
          <w:p w14:paraId="51078EBA" w14:textId="77777777" w:rsidR="007353C7" w:rsidRDefault="007353C7" w:rsidP="00F53349">
            <w:pPr>
              <w:jc w:val="center"/>
              <w:rPr>
                <w:rFonts w:ascii="Arial" w:hAnsi="Arial" w:cs="Arial"/>
                <w:sz w:val="20"/>
                <w:szCs w:val="20"/>
              </w:rPr>
            </w:pPr>
          </w:p>
        </w:tc>
      </w:tr>
      <w:tr w:rsidR="007353C7" w14:paraId="7AC11323" w14:textId="77777777" w:rsidTr="007353C7">
        <w:tc>
          <w:tcPr>
            <w:tcW w:w="6565" w:type="dxa"/>
            <w:tcBorders>
              <w:left w:val="single" w:sz="4" w:space="0" w:color="auto"/>
            </w:tcBorders>
            <w:vAlign w:val="center"/>
          </w:tcPr>
          <w:p w14:paraId="6129DD28" w14:textId="0D8D76ED" w:rsidR="007353C7" w:rsidRDefault="006A6AA7" w:rsidP="00F53349">
            <w:pPr>
              <w:rPr>
                <w:rFonts w:ascii="Arial" w:hAnsi="Arial" w:cs="Arial"/>
                <w:sz w:val="20"/>
                <w:szCs w:val="20"/>
              </w:rPr>
            </w:pPr>
            <w:r>
              <w:rPr>
                <w:rFonts w:ascii="Arial" w:hAnsi="Arial" w:cs="Arial"/>
                <w:sz w:val="20"/>
                <w:szCs w:val="20"/>
              </w:rPr>
              <w:t xml:space="preserve">Offeror must submit a completed Agents and Distributors by State – </w:t>
            </w:r>
            <w:r w:rsidRPr="004F4BCB">
              <w:rPr>
                <w:rFonts w:ascii="Arial" w:hAnsi="Arial" w:cs="Arial"/>
                <w:b/>
                <w:bCs/>
                <w:sz w:val="20"/>
                <w:szCs w:val="20"/>
              </w:rPr>
              <w:t xml:space="preserve">Attachment </w:t>
            </w:r>
            <w:r>
              <w:rPr>
                <w:rFonts w:ascii="Arial" w:hAnsi="Arial" w:cs="Arial"/>
                <w:b/>
                <w:bCs/>
                <w:sz w:val="20"/>
                <w:szCs w:val="20"/>
              </w:rPr>
              <w:t>L</w:t>
            </w:r>
          </w:p>
        </w:tc>
        <w:tc>
          <w:tcPr>
            <w:tcW w:w="1710" w:type="dxa"/>
            <w:tcBorders>
              <w:bottom w:val="single" w:sz="4" w:space="0" w:color="auto"/>
            </w:tcBorders>
            <w:vAlign w:val="center"/>
          </w:tcPr>
          <w:p w14:paraId="1E162B30" w14:textId="75E99533" w:rsidR="007353C7" w:rsidRDefault="007353C7" w:rsidP="00F53349">
            <w:pPr>
              <w:jc w:val="center"/>
              <w:rPr>
                <w:rFonts w:ascii="Arial" w:hAnsi="Arial" w:cs="Arial"/>
                <w:sz w:val="20"/>
                <w:szCs w:val="20"/>
              </w:rPr>
            </w:pPr>
            <w:r>
              <w:rPr>
                <w:rFonts w:ascii="Arial" w:hAnsi="Arial" w:cs="Arial"/>
                <w:sz w:val="20"/>
                <w:szCs w:val="20"/>
              </w:rPr>
              <w:t>Pass/Fail</w:t>
            </w:r>
          </w:p>
        </w:tc>
        <w:tc>
          <w:tcPr>
            <w:tcW w:w="1795" w:type="dxa"/>
            <w:tcBorders>
              <w:bottom w:val="single" w:sz="4" w:space="0" w:color="auto"/>
              <w:right w:val="single" w:sz="4" w:space="0" w:color="auto"/>
            </w:tcBorders>
            <w:vAlign w:val="center"/>
          </w:tcPr>
          <w:p w14:paraId="53839A3E" w14:textId="77777777" w:rsidR="007353C7" w:rsidRDefault="007353C7" w:rsidP="00F53349">
            <w:pPr>
              <w:jc w:val="center"/>
              <w:rPr>
                <w:rFonts w:ascii="Arial" w:hAnsi="Arial" w:cs="Arial"/>
                <w:sz w:val="20"/>
                <w:szCs w:val="20"/>
              </w:rPr>
            </w:pPr>
          </w:p>
        </w:tc>
      </w:tr>
      <w:tr w:rsidR="00F53349" w14:paraId="7AB58C5F" w14:textId="77777777" w:rsidTr="007353C7">
        <w:tc>
          <w:tcPr>
            <w:tcW w:w="8275" w:type="dxa"/>
            <w:gridSpan w:val="2"/>
            <w:tcBorders>
              <w:left w:val="nil"/>
              <w:bottom w:val="nil"/>
              <w:right w:val="single" w:sz="4" w:space="0" w:color="auto"/>
            </w:tcBorders>
            <w:vAlign w:val="center"/>
          </w:tcPr>
          <w:p w14:paraId="212A4513" w14:textId="2B2DCE19" w:rsidR="00F53349" w:rsidRPr="00D11F85" w:rsidRDefault="00F53349" w:rsidP="00F53349">
            <w:pPr>
              <w:jc w:val="right"/>
              <w:rPr>
                <w:rFonts w:ascii="Arial" w:hAnsi="Arial" w:cs="Arial"/>
                <w:b/>
                <w:bCs/>
                <w:sz w:val="20"/>
                <w:szCs w:val="20"/>
              </w:rPr>
            </w:pPr>
            <w:r>
              <w:rPr>
                <w:rFonts w:ascii="Arial" w:hAnsi="Arial" w:cs="Arial"/>
                <w:b/>
                <w:bCs/>
                <w:sz w:val="20"/>
                <w:szCs w:val="20"/>
              </w:rPr>
              <w:t xml:space="preserve">Stage </w:t>
            </w:r>
            <w:r w:rsidR="00E174F9">
              <w:rPr>
                <w:rFonts w:ascii="Arial" w:hAnsi="Arial" w:cs="Arial"/>
                <w:b/>
                <w:bCs/>
                <w:sz w:val="20"/>
                <w:szCs w:val="20"/>
              </w:rPr>
              <w:t xml:space="preserve">1 </w:t>
            </w:r>
            <w:r>
              <w:rPr>
                <w:rFonts w:ascii="Arial" w:hAnsi="Arial" w:cs="Arial"/>
                <w:b/>
                <w:bCs/>
                <w:sz w:val="20"/>
                <w:szCs w:val="20"/>
              </w:rPr>
              <w:t>Result:</w:t>
            </w:r>
          </w:p>
        </w:tc>
        <w:tc>
          <w:tcPr>
            <w:tcW w:w="1795" w:type="dxa"/>
            <w:tcBorders>
              <w:left w:val="single" w:sz="4" w:space="0" w:color="auto"/>
              <w:bottom w:val="single" w:sz="4" w:space="0" w:color="auto"/>
              <w:right w:val="single" w:sz="4" w:space="0" w:color="auto"/>
            </w:tcBorders>
            <w:vAlign w:val="center"/>
          </w:tcPr>
          <w:p w14:paraId="6DA8AB03" w14:textId="77777777" w:rsidR="00F53349" w:rsidRPr="001776C8" w:rsidRDefault="00F53349" w:rsidP="00F53349">
            <w:pPr>
              <w:jc w:val="center"/>
              <w:rPr>
                <w:rFonts w:ascii="Arial" w:hAnsi="Arial" w:cs="Arial"/>
                <w:b/>
                <w:bCs/>
                <w:sz w:val="20"/>
                <w:szCs w:val="20"/>
              </w:rPr>
            </w:pPr>
          </w:p>
        </w:tc>
      </w:tr>
    </w:tbl>
    <w:p w14:paraId="7B03C980" w14:textId="77777777" w:rsidR="002F3149" w:rsidRDefault="002F3149" w:rsidP="002F3149">
      <w:pPr>
        <w:contextualSpacing/>
        <w:rPr>
          <w:rFonts w:ascii="Arial" w:hAnsi="Arial" w:cs="Arial"/>
          <w:sz w:val="20"/>
          <w:szCs w:val="20"/>
        </w:rPr>
      </w:pPr>
    </w:p>
    <w:p w14:paraId="5F6201D3" w14:textId="3EF2AEB4" w:rsidR="002F3149" w:rsidRDefault="002F3149" w:rsidP="009A7F9C">
      <w:pPr>
        <w:spacing w:after="240"/>
        <w:rPr>
          <w:rFonts w:ascii="Arial" w:hAnsi="Arial" w:cs="Arial"/>
          <w:sz w:val="20"/>
          <w:szCs w:val="20"/>
        </w:rPr>
      </w:pPr>
      <w:r w:rsidRPr="002F3149">
        <w:rPr>
          <w:rFonts w:ascii="Arial" w:hAnsi="Arial" w:cs="Arial"/>
          <w:sz w:val="20"/>
          <w:szCs w:val="20"/>
        </w:rPr>
        <w:t xml:space="preserve">Proposals </w:t>
      </w:r>
      <w:r>
        <w:rPr>
          <w:rFonts w:ascii="Arial" w:hAnsi="Arial" w:cs="Arial"/>
          <w:sz w:val="20"/>
          <w:szCs w:val="20"/>
        </w:rPr>
        <w:t xml:space="preserve">failing to </w:t>
      </w:r>
      <w:r w:rsidR="00B14A52">
        <w:rPr>
          <w:rFonts w:ascii="Arial" w:hAnsi="Arial" w:cs="Arial"/>
          <w:sz w:val="20"/>
          <w:szCs w:val="20"/>
        </w:rPr>
        <w:t>meet or exceed all</w:t>
      </w:r>
      <w:r w:rsidRPr="002F3149">
        <w:rPr>
          <w:rFonts w:ascii="Arial" w:hAnsi="Arial" w:cs="Arial"/>
          <w:sz w:val="20"/>
          <w:szCs w:val="20"/>
        </w:rPr>
        <w:t xml:space="preserve"> Mandatory Minimum Requirement</w:t>
      </w:r>
      <w:r>
        <w:rPr>
          <w:rFonts w:ascii="Arial" w:hAnsi="Arial" w:cs="Arial"/>
          <w:sz w:val="20"/>
          <w:szCs w:val="20"/>
        </w:rPr>
        <w:t>s</w:t>
      </w:r>
      <w:r w:rsidRPr="002F3149">
        <w:rPr>
          <w:rFonts w:ascii="Arial" w:hAnsi="Arial" w:cs="Arial"/>
          <w:sz w:val="20"/>
          <w:szCs w:val="20"/>
        </w:rPr>
        <w:t xml:space="preserve"> may be rejected in accordance with Attachment</w:t>
      </w:r>
      <w:r w:rsidR="003442E9">
        <w:rPr>
          <w:rFonts w:ascii="Arial" w:hAnsi="Arial" w:cs="Arial"/>
          <w:sz w:val="20"/>
          <w:szCs w:val="20"/>
        </w:rPr>
        <w:t xml:space="preserve"> A –</w:t>
      </w:r>
      <w:r w:rsidRPr="002F3149">
        <w:rPr>
          <w:rFonts w:ascii="Arial" w:hAnsi="Arial" w:cs="Arial"/>
          <w:sz w:val="20"/>
          <w:szCs w:val="20"/>
        </w:rPr>
        <w:t xml:space="preserve"> RFP Terms and Conditions.</w:t>
      </w:r>
    </w:p>
    <w:p w14:paraId="1EB2D94C" w14:textId="39961164" w:rsidR="00724704" w:rsidRDefault="005B6FDE" w:rsidP="00724704">
      <w:pPr>
        <w:rPr>
          <w:rFonts w:ascii="Arial" w:hAnsi="Arial" w:cs="Arial"/>
          <w:sz w:val="20"/>
          <w:szCs w:val="20"/>
        </w:rPr>
      </w:pPr>
      <w:r w:rsidRPr="005B6FDE">
        <w:rPr>
          <w:rFonts w:ascii="Arial" w:hAnsi="Arial" w:cs="Arial"/>
          <w:b/>
          <w:bCs/>
          <w:sz w:val="20"/>
          <w:szCs w:val="20"/>
          <w:u w:val="single"/>
        </w:rPr>
        <w:t xml:space="preserve">Stage </w:t>
      </w:r>
      <w:r w:rsidR="006A6AA7">
        <w:rPr>
          <w:rFonts w:ascii="Arial" w:hAnsi="Arial" w:cs="Arial"/>
          <w:b/>
          <w:bCs/>
          <w:sz w:val="20"/>
          <w:szCs w:val="20"/>
          <w:u w:val="single"/>
        </w:rPr>
        <w:t>2</w:t>
      </w:r>
      <w:r w:rsidRPr="005B6FDE">
        <w:rPr>
          <w:rFonts w:ascii="Arial" w:hAnsi="Arial" w:cs="Arial"/>
          <w:b/>
          <w:bCs/>
          <w:sz w:val="20"/>
          <w:szCs w:val="20"/>
          <w:u w:val="single"/>
        </w:rPr>
        <w:t xml:space="preserve">: </w:t>
      </w:r>
      <w:r w:rsidR="0090030C">
        <w:rPr>
          <w:rFonts w:ascii="Arial" w:hAnsi="Arial" w:cs="Arial"/>
          <w:b/>
          <w:bCs/>
          <w:sz w:val="20"/>
          <w:szCs w:val="20"/>
          <w:u w:val="single"/>
        </w:rPr>
        <w:t>Technical</w:t>
      </w:r>
      <w:r w:rsidRPr="005B6FDE">
        <w:rPr>
          <w:rFonts w:ascii="Arial" w:hAnsi="Arial" w:cs="Arial"/>
          <w:b/>
          <w:bCs/>
          <w:sz w:val="20"/>
          <w:szCs w:val="20"/>
          <w:u w:val="single"/>
        </w:rPr>
        <w:t xml:space="preserve"> Criteria</w:t>
      </w:r>
      <w:r w:rsidR="00C42C3A">
        <w:rPr>
          <w:rFonts w:ascii="Arial" w:hAnsi="Arial" w:cs="Arial"/>
          <w:b/>
          <w:bCs/>
          <w:sz w:val="20"/>
          <w:szCs w:val="20"/>
          <w:u w:val="single"/>
        </w:rPr>
        <w:t xml:space="preserve"> Evaluation</w:t>
      </w:r>
      <w:r w:rsidRPr="005B6FDE">
        <w:rPr>
          <w:rFonts w:ascii="Arial" w:hAnsi="Arial" w:cs="Arial"/>
          <w:b/>
          <w:bCs/>
          <w:sz w:val="20"/>
          <w:szCs w:val="20"/>
          <w:u w:val="single"/>
        </w:rPr>
        <w:t>.</w:t>
      </w:r>
      <w:r w:rsidRPr="005B6FDE">
        <w:rPr>
          <w:rFonts w:ascii="Arial" w:hAnsi="Arial" w:cs="Arial"/>
          <w:sz w:val="20"/>
          <w:szCs w:val="20"/>
        </w:rPr>
        <w:t xml:space="preserve"> Proposals meeting or exceeding the Mandatory Minimum Requirements will be </w:t>
      </w:r>
      <w:r>
        <w:rPr>
          <w:rFonts w:ascii="Arial" w:hAnsi="Arial" w:cs="Arial"/>
          <w:sz w:val="20"/>
          <w:szCs w:val="20"/>
        </w:rPr>
        <w:t xml:space="preserve">evaluated </w:t>
      </w:r>
      <w:r w:rsidRPr="005B6FDE">
        <w:rPr>
          <w:rFonts w:ascii="Arial" w:hAnsi="Arial" w:cs="Arial"/>
          <w:sz w:val="20"/>
          <w:szCs w:val="20"/>
        </w:rPr>
        <w:t xml:space="preserve">against the </w:t>
      </w:r>
      <w:r>
        <w:rPr>
          <w:rFonts w:ascii="Arial" w:hAnsi="Arial" w:cs="Arial"/>
          <w:sz w:val="20"/>
          <w:szCs w:val="20"/>
        </w:rPr>
        <w:t xml:space="preserve">following </w:t>
      </w:r>
      <w:r w:rsidR="0090030C">
        <w:rPr>
          <w:rFonts w:ascii="Arial" w:hAnsi="Arial" w:cs="Arial"/>
          <w:sz w:val="20"/>
          <w:szCs w:val="20"/>
        </w:rPr>
        <w:t>Technical</w:t>
      </w:r>
      <w:r w:rsidRPr="005B6FDE">
        <w:rPr>
          <w:rFonts w:ascii="Arial" w:hAnsi="Arial" w:cs="Arial"/>
          <w:sz w:val="20"/>
          <w:szCs w:val="20"/>
        </w:rPr>
        <w:t xml:space="preserve"> Criteria</w:t>
      </w:r>
      <w:r>
        <w:rPr>
          <w:rFonts w:ascii="Arial" w:hAnsi="Arial" w:cs="Arial"/>
          <w:sz w:val="20"/>
          <w:szCs w:val="20"/>
        </w:rPr>
        <w:t>:</w:t>
      </w:r>
    </w:p>
    <w:tbl>
      <w:tblPr>
        <w:tblStyle w:val="TableGrid"/>
        <w:tblW w:w="0" w:type="auto"/>
        <w:tblLook w:val="04A0" w:firstRow="1" w:lastRow="0" w:firstColumn="1" w:lastColumn="0" w:noHBand="0" w:noVBand="1"/>
      </w:tblPr>
      <w:tblGrid>
        <w:gridCol w:w="1317"/>
        <w:gridCol w:w="6030"/>
        <w:gridCol w:w="1346"/>
        <w:gridCol w:w="1377"/>
      </w:tblGrid>
      <w:tr w:rsidR="00B74215" w14:paraId="1D4992A2" w14:textId="77777777" w:rsidTr="00B74215">
        <w:tc>
          <w:tcPr>
            <w:tcW w:w="1317" w:type="dxa"/>
            <w:tcBorders>
              <w:left w:val="single" w:sz="4" w:space="0" w:color="auto"/>
            </w:tcBorders>
            <w:shd w:val="clear" w:color="auto" w:fill="D9D9D9" w:themeFill="background1" w:themeFillShade="D9"/>
            <w:vAlign w:val="center"/>
          </w:tcPr>
          <w:p w14:paraId="0822C9E2" w14:textId="2D5B5C6C" w:rsidR="00175A64" w:rsidRDefault="00B74215" w:rsidP="00B74215">
            <w:pPr>
              <w:jc w:val="center"/>
              <w:rPr>
                <w:rFonts w:ascii="Arial" w:hAnsi="Arial" w:cs="Arial"/>
                <w:b/>
                <w:bCs/>
                <w:sz w:val="20"/>
                <w:szCs w:val="20"/>
              </w:rPr>
            </w:pPr>
            <w:r>
              <w:rPr>
                <w:rFonts w:ascii="Arial" w:hAnsi="Arial" w:cs="Arial"/>
                <w:b/>
                <w:bCs/>
                <w:sz w:val="20"/>
                <w:szCs w:val="20"/>
              </w:rPr>
              <w:t>Attachment</w:t>
            </w:r>
          </w:p>
        </w:tc>
        <w:tc>
          <w:tcPr>
            <w:tcW w:w="6030" w:type="dxa"/>
            <w:tcBorders>
              <w:left w:val="single" w:sz="4" w:space="0" w:color="auto"/>
            </w:tcBorders>
            <w:shd w:val="clear" w:color="auto" w:fill="D9D9D9" w:themeFill="background1" w:themeFillShade="D9"/>
            <w:vAlign w:val="center"/>
          </w:tcPr>
          <w:p w14:paraId="4E4701BD" w14:textId="3E16B4CC" w:rsidR="00175A64" w:rsidRPr="00E4509A" w:rsidRDefault="00175A64" w:rsidP="00F53349">
            <w:pPr>
              <w:jc w:val="center"/>
              <w:rPr>
                <w:rFonts w:ascii="Arial" w:hAnsi="Arial" w:cs="Arial"/>
                <w:b/>
                <w:bCs/>
                <w:sz w:val="20"/>
                <w:szCs w:val="20"/>
              </w:rPr>
            </w:pPr>
            <w:r>
              <w:rPr>
                <w:rFonts w:ascii="Arial" w:hAnsi="Arial" w:cs="Arial"/>
                <w:b/>
                <w:bCs/>
                <w:sz w:val="20"/>
                <w:szCs w:val="20"/>
              </w:rPr>
              <w:t>Criteria</w:t>
            </w:r>
          </w:p>
        </w:tc>
        <w:tc>
          <w:tcPr>
            <w:tcW w:w="1346" w:type="dxa"/>
            <w:shd w:val="clear" w:color="auto" w:fill="D9D9D9" w:themeFill="background1" w:themeFillShade="D9"/>
            <w:vAlign w:val="center"/>
          </w:tcPr>
          <w:p w14:paraId="151A944B" w14:textId="38F4B812" w:rsidR="00175A64" w:rsidRPr="00E4509A" w:rsidRDefault="00175A64" w:rsidP="00F53349">
            <w:pPr>
              <w:jc w:val="center"/>
              <w:rPr>
                <w:rFonts w:ascii="Arial" w:hAnsi="Arial" w:cs="Arial"/>
                <w:b/>
                <w:bCs/>
                <w:sz w:val="20"/>
                <w:szCs w:val="20"/>
              </w:rPr>
            </w:pPr>
            <w:r>
              <w:rPr>
                <w:rFonts w:ascii="Arial" w:hAnsi="Arial" w:cs="Arial"/>
                <w:b/>
                <w:bCs/>
                <w:sz w:val="20"/>
                <w:szCs w:val="20"/>
              </w:rPr>
              <w:t>Technical Points Possible</w:t>
            </w:r>
          </w:p>
        </w:tc>
        <w:tc>
          <w:tcPr>
            <w:tcW w:w="1377" w:type="dxa"/>
            <w:tcBorders>
              <w:bottom w:val="single" w:sz="4" w:space="0" w:color="auto"/>
              <w:right w:val="single" w:sz="4" w:space="0" w:color="auto"/>
            </w:tcBorders>
            <w:shd w:val="clear" w:color="auto" w:fill="D9D9D9" w:themeFill="background1" w:themeFillShade="D9"/>
            <w:vAlign w:val="center"/>
          </w:tcPr>
          <w:p w14:paraId="37B7B28D" w14:textId="5EC8EED3" w:rsidR="00175A64" w:rsidRPr="00E4509A" w:rsidRDefault="00175A64" w:rsidP="00F53349">
            <w:pPr>
              <w:jc w:val="center"/>
              <w:rPr>
                <w:rFonts w:ascii="Arial" w:hAnsi="Arial" w:cs="Arial"/>
                <w:b/>
                <w:bCs/>
                <w:sz w:val="20"/>
                <w:szCs w:val="20"/>
              </w:rPr>
            </w:pPr>
            <w:r>
              <w:rPr>
                <w:rFonts w:ascii="Arial" w:hAnsi="Arial" w:cs="Arial"/>
                <w:b/>
                <w:bCs/>
                <w:sz w:val="20"/>
                <w:szCs w:val="20"/>
              </w:rPr>
              <w:t>Offeror’s Technical Points Earned</w:t>
            </w:r>
          </w:p>
        </w:tc>
      </w:tr>
      <w:tr w:rsidR="00B74215" w14:paraId="4B2FA838" w14:textId="77777777" w:rsidTr="00B74215">
        <w:tc>
          <w:tcPr>
            <w:tcW w:w="1317" w:type="dxa"/>
            <w:vMerge w:val="restart"/>
            <w:tcBorders>
              <w:left w:val="single" w:sz="4" w:space="0" w:color="auto"/>
            </w:tcBorders>
            <w:vAlign w:val="center"/>
          </w:tcPr>
          <w:p w14:paraId="6D66B445" w14:textId="73040582" w:rsidR="00B74215" w:rsidRPr="00B74215" w:rsidRDefault="00B74215" w:rsidP="00B74215">
            <w:pPr>
              <w:jc w:val="center"/>
              <w:rPr>
                <w:rFonts w:ascii="Arial" w:hAnsi="Arial" w:cs="Arial"/>
                <w:sz w:val="20"/>
                <w:szCs w:val="20"/>
              </w:rPr>
            </w:pPr>
            <w:r w:rsidRPr="00B74215">
              <w:rPr>
                <w:rFonts w:ascii="Arial" w:hAnsi="Arial" w:cs="Arial"/>
                <w:sz w:val="20"/>
                <w:szCs w:val="20"/>
              </w:rPr>
              <w:t>Att. H</w:t>
            </w:r>
          </w:p>
        </w:tc>
        <w:tc>
          <w:tcPr>
            <w:tcW w:w="6030" w:type="dxa"/>
            <w:tcBorders>
              <w:left w:val="single" w:sz="4" w:space="0" w:color="auto"/>
            </w:tcBorders>
            <w:shd w:val="clear" w:color="auto" w:fill="auto"/>
            <w:vAlign w:val="center"/>
          </w:tcPr>
          <w:p w14:paraId="20CA55F9" w14:textId="6F74C2EB" w:rsidR="00B74215" w:rsidRPr="00161888" w:rsidRDefault="00B74215" w:rsidP="00161888">
            <w:pPr>
              <w:pStyle w:val="ListParagraph"/>
              <w:numPr>
                <w:ilvl w:val="0"/>
                <w:numId w:val="8"/>
              </w:numPr>
              <w:rPr>
                <w:rFonts w:ascii="Arial" w:hAnsi="Arial" w:cs="Arial"/>
                <w:b/>
                <w:bCs/>
                <w:sz w:val="20"/>
                <w:szCs w:val="20"/>
              </w:rPr>
            </w:pPr>
            <w:r>
              <w:rPr>
                <w:rFonts w:ascii="Arial" w:hAnsi="Arial" w:cs="Arial"/>
                <w:b/>
                <w:bCs/>
                <w:sz w:val="20"/>
                <w:szCs w:val="20"/>
              </w:rPr>
              <w:t xml:space="preserve">RESPONSE TO </w:t>
            </w:r>
            <w:r w:rsidRPr="00161888">
              <w:rPr>
                <w:rFonts w:ascii="Arial" w:hAnsi="Arial" w:cs="Arial"/>
                <w:b/>
                <w:bCs/>
                <w:sz w:val="20"/>
                <w:szCs w:val="20"/>
              </w:rPr>
              <w:t>T</w:t>
            </w:r>
            <w:r>
              <w:rPr>
                <w:rFonts w:ascii="Arial" w:hAnsi="Arial" w:cs="Arial"/>
                <w:b/>
                <w:bCs/>
                <w:sz w:val="20"/>
                <w:szCs w:val="20"/>
              </w:rPr>
              <w:t>ECHNICAL CRITERIA</w:t>
            </w:r>
          </w:p>
        </w:tc>
        <w:tc>
          <w:tcPr>
            <w:tcW w:w="1346" w:type="dxa"/>
            <w:shd w:val="clear" w:color="auto" w:fill="auto"/>
            <w:vAlign w:val="center"/>
          </w:tcPr>
          <w:p w14:paraId="0D50EF6D" w14:textId="37184130" w:rsidR="00B74215" w:rsidRDefault="00B74215" w:rsidP="00F53349">
            <w:pPr>
              <w:jc w:val="center"/>
              <w:rPr>
                <w:rFonts w:ascii="Arial" w:hAnsi="Arial" w:cs="Arial"/>
                <w:b/>
                <w:bCs/>
                <w:sz w:val="20"/>
                <w:szCs w:val="20"/>
              </w:rPr>
            </w:pPr>
            <w:r>
              <w:rPr>
                <w:rFonts w:ascii="Arial" w:hAnsi="Arial" w:cs="Arial"/>
                <w:b/>
                <w:bCs/>
                <w:sz w:val="20"/>
                <w:szCs w:val="20"/>
              </w:rPr>
              <w:t>700</w:t>
            </w:r>
          </w:p>
        </w:tc>
        <w:tc>
          <w:tcPr>
            <w:tcW w:w="1377" w:type="dxa"/>
            <w:tcBorders>
              <w:bottom w:val="single" w:sz="4" w:space="0" w:color="auto"/>
              <w:right w:val="single" w:sz="4" w:space="0" w:color="auto"/>
            </w:tcBorders>
            <w:shd w:val="clear" w:color="auto" w:fill="auto"/>
            <w:vAlign w:val="center"/>
          </w:tcPr>
          <w:p w14:paraId="74FDE463" w14:textId="77777777" w:rsidR="00B74215" w:rsidRDefault="00B74215" w:rsidP="00F53349">
            <w:pPr>
              <w:jc w:val="center"/>
              <w:rPr>
                <w:rFonts w:ascii="Arial" w:hAnsi="Arial" w:cs="Arial"/>
                <w:b/>
                <w:bCs/>
                <w:sz w:val="20"/>
                <w:szCs w:val="20"/>
              </w:rPr>
            </w:pPr>
          </w:p>
        </w:tc>
      </w:tr>
      <w:tr w:rsidR="00B74215" w14:paraId="0C18C0AD" w14:textId="77777777" w:rsidTr="00B74215">
        <w:tc>
          <w:tcPr>
            <w:tcW w:w="1317" w:type="dxa"/>
            <w:vMerge/>
            <w:tcBorders>
              <w:left w:val="single" w:sz="4" w:space="0" w:color="auto"/>
            </w:tcBorders>
            <w:vAlign w:val="center"/>
          </w:tcPr>
          <w:p w14:paraId="66AE7016" w14:textId="77777777" w:rsidR="00B74215" w:rsidRPr="00161888" w:rsidRDefault="00B74215" w:rsidP="00B74215">
            <w:pPr>
              <w:pStyle w:val="ListParagraph"/>
              <w:ind w:left="1080"/>
              <w:jc w:val="center"/>
              <w:rPr>
                <w:rFonts w:ascii="Arial" w:hAnsi="Arial" w:cs="Arial"/>
                <w:sz w:val="20"/>
                <w:szCs w:val="20"/>
              </w:rPr>
            </w:pPr>
          </w:p>
        </w:tc>
        <w:tc>
          <w:tcPr>
            <w:tcW w:w="6030" w:type="dxa"/>
            <w:tcBorders>
              <w:left w:val="single" w:sz="4" w:space="0" w:color="auto"/>
            </w:tcBorders>
            <w:shd w:val="clear" w:color="auto" w:fill="auto"/>
            <w:vAlign w:val="center"/>
          </w:tcPr>
          <w:p w14:paraId="3EFB784C" w14:textId="59171C88" w:rsidR="00B74215" w:rsidRPr="00161888" w:rsidRDefault="00B74215" w:rsidP="00161888">
            <w:pPr>
              <w:pStyle w:val="ListParagraph"/>
              <w:numPr>
                <w:ilvl w:val="0"/>
                <w:numId w:val="9"/>
              </w:numPr>
              <w:rPr>
                <w:rFonts w:ascii="Arial" w:hAnsi="Arial" w:cs="Arial"/>
                <w:sz w:val="20"/>
                <w:szCs w:val="20"/>
              </w:rPr>
            </w:pPr>
            <w:r w:rsidRPr="00161888">
              <w:rPr>
                <w:rFonts w:ascii="Arial" w:hAnsi="Arial" w:cs="Arial"/>
                <w:sz w:val="20"/>
                <w:szCs w:val="20"/>
              </w:rPr>
              <w:t>Experience, skills, &amp; qualifications</w:t>
            </w:r>
          </w:p>
        </w:tc>
        <w:tc>
          <w:tcPr>
            <w:tcW w:w="1346" w:type="dxa"/>
            <w:shd w:val="clear" w:color="auto" w:fill="D9D9D9" w:themeFill="background1" w:themeFillShade="D9"/>
            <w:vAlign w:val="center"/>
          </w:tcPr>
          <w:p w14:paraId="5042DCA4" w14:textId="77777777" w:rsidR="00B74215" w:rsidRDefault="00B74215" w:rsidP="00F53349">
            <w:pPr>
              <w:jc w:val="center"/>
              <w:rPr>
                <w:rFonts w:ascii="Arial" w:hAnsi="Arial" w:cs="Arial"/>
                <w:b/>
                <w:bCs/>
                <w:sz w:val="20"/>
                <w:szCs w:val="20"/>
              </w:rPr>
            </w:pPr>
          </w:p>
        </w:tc>
        <w:tc>
          <w:tcPr>
            <w:tcW w:w="1377" w:type="dxa"/>
            <w:tcBorders>
              <w:bottom w:val="single" w:sz="4" w:space="0" w:color="auto"/>
              <w:right w:val="single" w:sz="4" w:space="0" w:color="auto"/>
            </w:tcBorders>
            <w:shd w:val="clear" w:color="auto" w:fill="auto"/>
            <w:vAlign w:val="center"/>
          </w:tcPr>
          <w:p w14:paraId="30176209" w14:textId="77777777" w:rsidR="00B74215" w:rsidRDefault="00B74215" w:rsidP="00F53349">
            <w:pPr>
              <w:jc w:val="center"/>
              <w:rPr>
                <w:rFonts w:ascii="Arial" w:hAnsi="Arial" w:cs="Arial"/>
                <w:b/>
                <w:bCs/>
                <w:sz w:val="20"/>
                <w:szCs w:val="20"/>
              </w:rPr>
            </w:pPr>
          </w:p>
        </w:tc>
      </w:tr>
      <w:tr w:rsidR="00B74215" w14:paraId="16138459" w14:textId="77777777" w:rsidTr="00B74215">
        <w:tc>
          <w:tcPr>
            <w:tcW w:w="1317" w:type="dxa"/>
            <w:vMerge/>
            <w:tcBorders>
              <w:left w:val="single" w:sz="4" w:space="0" w:color="auto"/>
            </w:tcBorders>
            <w:vAlign w:val="center"/>
          </w:tcPr>
          <w:p w14:paraId="1DC437AD" w14:textId="77777777" w:rsidR="00B74215" w:rsidRPr="00161888" w:rsidRDefault="00B74215" w:rsidP="00B74215">
            <w:pPr>
              <w:pStyle w:val="ListParagraph"/>
              <w:ind w:left="1080"/>
              <w:jc w:val="center"/>
              <w:rPr>
                <w:rFonts w:ascii="Arial" w:hAnsi="Arial" w:cs="Arial"/>
                <w:sz w:val="20"/>
                <w:szCs w:val="20"/>
              </w:rPr>
            </w:pPr>
          </w:p>
        </w:tc>
        <w:tc>
          <w:tcPr>
            <w:tcW w:w="6030" w:type="dxa"/>
            <w:tcBorders>
              <w:left w:val="single" w:sz="4" w:space="0" w:color="auto"/>
            </w:tcBorders>
            <w:shd w:val="clear" w:color="auto" w:fill="auto"/>
            <w:vAlign w:val="center"/>
          </w:tcPr>
          <w:p w14:paraId="5659B4C1" w14:textId="2A586FC2" w:rsidR="00B74215" w:rsidRPr="00161888" w:rsidRDefault="00B74215" w:rsidP="00161888">
            <w:pPr>
              <w:pStyle w:val="ListParagraph"/>
              <w:numPr>
                <w:ilvl w:val="0"/>
                <w:numId w:val="9"/>
              </w:numPr>
              <w:rPr>
                <w:rFonts w:ascii="Arial" w:hAnsi="Arial" w:cs="Arial"/>
                <w:sz w:val="20"/>
                <w:szCs w:val="20"/>
              </w:rPr>
            </w:pPr>
            <w:r w:rsidRPr="00161888">
              <w:rPr>
                <w:rFonts w:ascii="Arial" w:hAnsi="Arial" w:cs="Arial"/>
                <w:sz w:val="20"/>
                <w:szCs w:val="20"/>
              </w:rPr>
              <w:t>Scope of Work</w:t>
            </w:r>
          </w:p>
        </w:tc>
        <w:tc>
          <w:tcPr>
            <w:tcW w:w="1346" w:type="dxa"/>
            <w:shd w:val="clear" w:color="auto" w:fill="D9D9D9" w:themeFill="background1" w:themeFillShade="D9"/>
            <w:vAlign w:val="center"/>
          </w:tcPr>
          <w:p w14:paraId="4A782ED3" w14:textId="77777777" w:rsidR="00B74215" w:rsidRDefault="00B74215" w:rsidP="00F53349">
            <w:pPr>
              <w:jc w:val="center"/>
              <w:rPr>
                <w:rFonts w:ascii="Arial" w:hAnsi="Arial" w:cs="Arial"/>
                <w:b/>
                <w:bCs/>
                <w:sz w:val="20"/>
                <w:szCs w:val="20"/>
              </w:rPr>
            </w:pPr>
          </w:p>
        </w:tc>
        <w:tc>
          <w:tcPr>
            <w:tcW w:w="1377" w:type="dxa"/>
            <w:tcBorders>
              <w:bottom w:val="single" w:sz="4" w:space="0" w:color="auto"/>
              <w:right w:val="single" w:sz="4" w:space="0" w:color="auto"/>
            </w:tcBorders>
            <w:shd w:val="clear" w:color="auto" w:fill="auto"/>
            <w:vAlign w:val="center"/>
          </w:tcPr>
          <w:p w14:paraId="7FA91EE7" w14:textId="77777777" w:rsidR="00B74215" w:rsidRDefault="00B74215" w:rsidP="00F53349">
            <w:pPr>
              <w:jc w:val="center"/>
              <w:rPr>
                <w:rFonts w:ascii="Arial" w:hAnsi="Arial" w:cs="Arial"/>
                <w:b/>
                <w:bCs/>
                <w:sz w:val="20"/>
                <w:szCs w:val="20"/>
              </w:rPr>
            </w:pPr>
          </w:p>
        </w:tc>
      </w:tr>
      <w:tr w:rsidR="00B74215" w14:paraId="1A632335" w14:textId="77777777" w:rsidTr="00B74215">
        <w:tc>
          <w:tcPr>
            <w:tcW w:w="1317" w:type="dxa"/>
            <w:vMerge/>
            <w:tcBorders>
              <w:left w:val="single" w:sz="4" w:space="0" w:color="auto"/>
            </w:tcBorders>
            <w:vAlign w:val="center"/>
          </w:tcPr>
          <w:p w14:paraId="698FC756" w14:textId="77777777" w:rsidR="00B74215" w:rsidRDefault="00B74215" w:rsidP="00B74215">
            <w:pPr>
              <w:pStyle w:val="ListParagraph"/>
              <w:ind w:left="1080"/>
              <w:jc w:val="center"/>
              <w:rPr>
                <w:rFonts w:ascii="Arial" w:hAnsi="Arial" w:cs="Arial"/>
                <w:sz w:val="20"/>
                <w:szCs w:val="20"/>
              </w:rPr>
            </w:pPr>
          </w:p>
        </w:tc>
        <w:tc>
          <w:tcPr>
            <w:tcW w:w="6030" w:type="dxa"/>
            <w:tcBorders>
              <w:left w:val="single" w:sz="4" w:space="0" w:color="auto"/>
            </w:tcBorders>
            <w:shd w:val="clear" w:color="auto" w:fill="auto"/>
            <w:vAlign w:val="center"/>
          </w:tcPr>
          <w:p w14:paraId="2A642B7F" w14:textId="67D4CB7F" w:rsidR="00B74215" w:rsidRPr="00161888" w:rsidRDefault="00B74215" w:rsidP="00161888">
            <w:pPr>
              <w:pStyle w:val="ListParagraph"/>
              <w:numPr>
                <w:ilvl w:val="0"/>
                <w:numId w:val="9"/>
              </w:numPr>
              <w:rPr>
                <w:rFonts w:ascii="Arial" w:hAnsi="Arial" w:cs="Arial"/>
                <w:sz w:val="20"/>
                <w:szCs w:val="20"/>
              </w:rPr>
            </w:pPr>
            <w:r>
              <w:rPr>
                <w:rFonts w:ascii="Arial" w:hAnsi="Arial" w:cs="Arial"/>
                <w:sz w:val="20"/>
                <w:szCs w:val="20"/>
              </w:rPr>
              <w:t>Change Management of Standards</w:t>
            </w:r>
          </w:p>
        </w:tc>
        <w:tc>
          <w:tcPr>
            <w:tcW w:w="1346" w:type="dxa"/>
            <w:shd w:val="clear" w:color="auto" w:fill="D9D9D9" w:themeFill="background1" w:themeFillShade="D9"/>
            <w:vAlign w:val="center"/>
          </w:tcPr>
          <w:p w14:paraId="5FE5749C" w14:textId="77777777" w:rsidR="00B74215" w:rsidRDefault="00B74215" w:rsidP="00F53349">
            <w:pPr>
              <w:jc w:val="center"/>
              <w:rPr>
                <w:rFonts w:ascii="Arial" w:hAnsi="Arial" w:cs="Arial"/>
                <w:b/>
                <w:bCs/>
                <w:sz w:val="20"/>
                <w:szCs w:val="20"/>
              </w:rPr>
            </w:pPr>
          </w:p>
        </w:tc>
        <w:tc>
          <w:tcPr>
            <w:tcW w:w="1377" w:type="dxa"/>
            <w:tcBorders>
              <w:bottom w:val="single" w:sz="4" w:space="0" w:color="auto"/>
              <w:right w:val="single" w:sz="4" w:space="0" w:color="auto"/>
            </w:tcBorders>
            <w:shd w:val="clear" w:color="auto" w:fill="auto"/>
            <w:vAlign w:val="center"/>
          </w:tcPr>
          <w:p w14:paraId="00B77DD6" w14:textId="77777777" w:rsidR="00B74215" w:rsidRDefault="00B74215" w:rsidP="00F53349">
            <w:pPr>
              <w:jc w:val="center"/>
              <w:rPr>
                <w:rFonts w:ascii="Arial" w:hAnsi="Arial" w:cs="Arial"/>
                <w:b/>
                <w:bCs/>
                <w:sz w:val="20"/>
                <w:szCs w:val="20"/>
              </w:rPr>
            </w:pPr>
          </w:p>
        </w:tc>
      </w:tr>
      <w:tr w:rsidR="00B74215" w14:paraId="00361D80" w14:textId="77777777" w:rsidTr="00B74215">
        <w:tc>
          <w:tcPr>
            <w:tcW w:w="1317" w:type="dxa"/>
            <w:vMerge/>
            <w:tcBorders>
              <w:left w:val="single" w:sz="4" w:space="0" w:color="auto"/>
            </w:tcBorders>
            <w:vAlign w:val="center"/>
          </w:tcPr>
          <w:p w14:paraId="664A0DB9" w14:textId="77777777" w:rsidR="00B74215" w:rsidRDefault="00B74215" w:rsidP="00B74215">
            <w:pPr>
              <w:pStyle w:val="ListParagraph"/>
              <w:ind w:left="1080"/>
              <w:jc w:val="center"/>
              <w:rPr>
                <w:rFonts w:ascii="Arial" w:hAnsi="Arial" w:cs="Arial"/>
                <w:sz w:val="20"/>
                <w:szCs w:val="20"/>
              </w:rPr>
            </w:pPr>
          </w:p>
        </w:tc>
        <w:tc>
          <w:tcPr>
            <w:tcW w:w="6030" w:type="dxa"/>
            <w:tcBorders>
              <w:left w:val="single" w:sz="4" w:space="0" w:color="auto"/>
            </w:tcBorders>
            <w:shd w:val="clear" w:color="auto" w:fill="auto"/>
            <w:vAlign w:val="center"/>
          </w:tcPr>
          <w:p w14:paraId="6DB3D4D2" w14:textId="1A6D184D" w:rsidR="00B74215" w:rsidRDefault="00B74215" w:rsidP="00161888">
            <w:pPr>
              <w:pStyle w:val="ListParagraph"/>
              <w:numPr>
                <w:ilvl w:val="0"/>
                <w:numId w:val="9"/>
              </w:numPr>
              <w:rPr>
                <w:rFonts w:ascii="Arial" w:hAnsi="Arial" w:cs="Arial"/>
                <w:sz w:val="20"/>
                <w:szCs w:val="20"/>
              </w:rPr>
            </w:pPr>
            <w:r>
              <w:rPr>
                <w:rFonts w:ascii="Arial" w:hAnsi="Arial" w:cs="Arial"/>
                <w:sz w:val="20"/>
                <w:szCs w:val="20"/>
              </w:rPr>
              <w:t>Warranty, Service, etc.</w:t>
            </w:r>
          </w:p>
        </w:tc>
        <w:tc>
          <w:tcPr>
            <w:tcW w:w="1346" w:type="dxa"/>
            <w:shd w:val="clear" w:color="auto" w:fill="D9D9D9" w:themeFill="background1" w:themeFillShade="D9"/>
            <w:vAlign w:val="center"/>
          </w:tcPr>
          <w:p w14:paraId="26F86AE3" w14:textId="77777777" w:rsidR="00B74215" w:rsidRDefault="00B74215" w:rsidP="00F53349">
            <w:pPr>
              <w:jc w:val="center"/>
              <w:rPr>
                <w:rFonts w:ascii="Arial" w:hAnsi="Arial" w:cs="Arial"/>
                <w:b/>
                <w:bCs/>
                <w:sz w:val="20"/>
                <w:szCs w:val="20"/>
              </w:rPr>
            </w:pPr>
          </w:p>
        </w:tc>
        <w:tc>
          <w:tcPr>
            <w:tcW w:w="1377" w:type="dxa"/>
            <w:tcBorders>
              <w:bottom w:val="single" w:sz="4" w:space="0" w:color="auto"/>
              <w:right w:val="single" w:sz="4" w:space="0" w:color="auto"/>
            </w:tcBorders>
            <w:shd w:val="clear" w:color="auto" w:fill="auto"/>
            <w:vAlign w:val="center"/>
          </w:tcPr>
          <w:p w14:paraId="23293DD7" w14:textId="77777777" w:rsidR="00B74215" w:rsidRDefault="00B74215" w:rsidP="00F53349">
            <w:pPr>
              <w:jc w:val="center"/>
              <w:rPr>
                <w:rFonts w:ascii="Arial" w:hAnsi="Arial" w:cs="Arial"/>
                <w:b/>
                <w:bCs/>
                <w:sz w:val="20"/>
                <w:szCs w:val="20"/>
              </w:rPr>
            </w:pPr>
          </w:p>
        </w:tc>
      </w:tr>
      <w:tr w:rsidR="00B74215" w14:paraId="456F41DA" w14:textId="77777777" w:rsidTr="00B74215">
        <w:tc>
          <w:tcPr>
            <w:tcW w:w="1317" w:type="dxa"/>
            <w:vMerge/>
            <w:tcBorders>
              <w:left w:val="single" w:sz="4" w:space="0" w:color="auto"/>
            </w:tcBorders>
            <w:vAlign w:val="center"/>
          </w:tcPr>
          <w:p w14:paraId="77E78A23" w14:textId="77777777" w:rsidR="00B74215" w:rsidRDefault="00B74215" w:rsidP="00B74215">
            <w:pPr>
              <w:pStyle w:val="ListParagraph"/>
              <w:ind w:left="1080"/>
              <w:jc w:val="center"/>
              <w:rPr>
                <w:rFonts w:ascii="Arial" w:hAnsi="Arial" w:cs="Arial"/>
                <w:sz w:val="20"/>
                <w:szCs w:val="20"/>
              </w:rPr>
            </w:pPr>
          </w:p>
        </w:tc>
        <w:tc>
          <w:tcPr>
            <w:tcW w:w="6030" w:type="dxa"/>
            <w:tcBorders>
              <w:left w:val="single" w:sz="4" w:space="0" w:color="auto"/>
            </w:tcBorders>
            <w:shd w:val="clear" w:color="auto" w:fill="auto"/>
            <w:vAlign w:val="center"/>
          </w:tcPr>
          <w:p w14:paraId="790026B7" w14:textId="7BBF608A" w:rsidR="00B74215" w:rsidRDefault="00B74215" w:rsidP="00161888">
            <w:pPr>
              <w:pStyle w:val="ListParagraph"/>
              <w:numPr>
                <w:ilvl w:val="0"/>
                <w:numId w:val="9"/>
              </w:numPr>
              <w:rPr>
                <w:rFonts w:ascii="Arial" w:hAnsi="Arial" w:cs="Arial"/>
                <w:sz w:val="20"/>
                <w:szCs w:val="20"/>
              </w:rPr>
            </w:pPr>
            <w:r>
              <w:rPr>
                <w:rFonts w:ascii="Arial" w:hAnsi="Arial" w:cs="Arial"/>
                <w:sz w:val="20"/>
                <w:szCs w:val="20"/>
              </w:rPr>
              <w:t>Implementation and Promotion of the NASPO ValuePoint Master Agreement</w:t>
            </w:r>
          </w:p>
        </w:tc>
        <w:tc>
          <w:tcPr>
            <w:tcW w:w="1346" w:type="dxa"/>
            <w:shd w:val="clear" w:color="auto" w:fill="D9D9D9" w:themeFill="background1" w:themeFillShade="D9"/>
            <w:vAlign w:val="center"/>
          </w:tcPr>
          <w:p w14:paraId="15DA3212" w14:textId="77777777" w:rsidR="00B74215" w:rsidRDefault="00B74215" w:rsidP="00F53349">
            <w:pPr>
              <w:jc w:val="center"/>
              <w:rPr>
                <w:rFonts w:ascii="Arial" w:hAnsi="Arial" w:cs="Arial"/>
                <w:b/>
                <w:bCs/>
                <w:sz w:val="20"/>
                <w:szCs w:val="20"/>
              </w:rPr>
            </w:pPr>
          </w:p>
        </w:tc>
        <w:tc>
          <w:tcPr>
            <w:tcW w:w="1377" w:type="dxa"/>
            <w:tcBorders>
              <w:bottom w:val="single" w:sz="4" w:space="0" w:color="auto"/>
              <w:right w:val="single" w:sz="4" w:space="0" w:color="auto"/>
            </w:tcBorders>
            <w:shd w:val="clear" w:color="auto" w:fill="auto"/>
            <w:vAlign w:val="center"/>
          </w:tcPr>
          <w:p w14:paraId="6EBF8C1E" w14:textId="77777777" w:rsidR="00B74215" w:rsidRDefault="00B74215" w:rsidP="00F53349">
            <w:pPr>
              <w:jc w:val="center"/>
              <w:rPr>
                <w:rFonts w:ascii="Arial" w:hAnsi="Arial" w:cs="Arial"/>
                <w:b/>
                <w:bCs/>
                <w:sz w:val="20"/>
                <w:szCs w:val="20"/>
              </w:rPr>
            </w:pPr>
          </w:p>
        </w:tc>
      </w:tr>
      <w:tr w:rsidR="00DC1E9D" w14:paraId="2B4EAD41" w14:textId="77777777" w:rsidTr="00DC1E9D">
        <w:tc>
          <w:tcPr>
            <w:tcW w:w="1317" w:type="dxa"/>
            <w:tcBorders>
              <w:left w:val="single" w:sz="4" w:space="0" w:color="auto"/>
              <w:bottom w:val="single" w:sz="4" w:space="0" w:color="auto"/>
            </w:tcBorders>
            <w:vAlign w:val="center"/>
          </w:tcPr>
          <w:p w14:paraId="32C7BA57" w14:textId="5B0C33C7" w:rsidR="00175A64" w:rsidRDefault="00B74215" w:rsidP="00B74215">
            <w:pPr>
              <w:jc w:val="center"/>
              <w:rPr>
                <w:rFonts w:ascii="Arial" w:hAnsi="Arial" w:cs="Arial"/>
                <w:sz w:val="20"/>
                <w:szCs w:val="20"/>
              </w:rPr>
            </w:pPr>
            <w:r>
              <w:rPr>
                <w:rFonts w:ascii="Arial" w:hAnsi="Arial" w:cs="Arial"/>
                <w:sz w:val="20"/>
                <w:szCs w:val="20"/>
              </w:rPr>
              <w:t>Att. J</w:t>
            </w:r>
          </w:p>
        </w:tc>
        <w:tc>
          <w:tcPr>
            <w:tcW w:w="6030" w:type="dxa"/>
            <w:tcBorders>
              <w:left w:val="single" w:sz="4" w:space="0" w:color="auto"/>
            </w:tcBorders>
            <w:shd w:val="clear" w:color="auto" w:fill="auto"/>
            <w:vAlign w:val="center"/>
          </w:tcPr>
          <w:p w14:paraId="7A195EFE" w14:textId="235FF1B0" w:rsidR="00175A64" w:rsidRPr="006F68A3" w:rsidRDefault="00175A64" w:rsidP="006F68A3">
            <w:pPr>
              <w:rPr>
                <w:rFonts w:ascii="Arial" w:hAnsi="Arial" w:cs="Arial"/>
                <w:sz w:val="20"/>
                <w:szCs w:val="20"/>
              </w:rPr>
            </w:pPr>
            <w:r>
              <w:rPr>
                <w:rFonts w:ascii="Arial" w:hAnsi="Arial" w:cs="Arial"/>
                <w:sz w:val="20"/>
                <w:szCs w:val="20"/>
              </w:rPr>
              <w:t>Acceptance of Sample Master Agreement Terms &amp; Conditions with no Redlines (as indicated in Attachment J)</w:t>
            </w:r>
          </w:p>
        </w:tc>
        <w:tc>
          <w:tcPr>
            <w:tcW w:w="1346" w:type="dxa"/>
            <w:shd w:val="clear" w:color="auto" w:fill="auto"/>
            <w:vAlign w:val="center"/>
          </w:tcPr>
          <w:p w14:paraId="3A5E38B9" w14:textId="5DF8E4B4" w:rsidR="00175A64" w:rsidRPr="001F13C4" w:rsidRDefault="00175A64" w:rsidP="00F53349">
            <w:pPr>
              <w:jc w:val="center"/>
              <w:rPr>
                <w:rFonts w:ascii="Arial" w:hAnsi="Arial" w:cs="Arial"/>
                <w:b/>
                <w:bCs/>
                <w:sz w:val="20"/>
                <w:szCs w:val="20"/>
              </w:rPr>
            </w:pPr>
            <w:r w:rsidRPr="001F13C4">
              <w:rPr>
                <w:rFonts w:ascii="Arial" w:hAnsi="Arial" w:cs="Arial"/>
                <w:b/>
                <w:bCs/>
                <w:sz w:val="20"/>
                <w:szCs w:val="20"/>
              </w:rPr>
              <w:t>50</w:t>
            </w:r>
          </w:p>
        </w:tc>
        <w:tc>
          <w:tcPr>
            <w:tcW w:w="1377" w:type="dxa"/>
            <w:tcBorders>
              <w:bottom w:val="single" w:sz="4" w:space="0" w:color="auto"/>
              <w:right w:val="single" w:sz="4" w:space="0" w:color="auto"/>
            </w:tcBorders>
            <w:shd w:val="clear" w:color="auto" w:fill="auto"/>
            <w:vAlign w:val="center"/>
          </w:tcPr>
          <w:p w14:paraId="4BB2F430" w14:textId="77777777" w:rsidR="00175A64" w:rsidRDefault="00175A64" w:rsidP="00F53349">
            <w:pPr>
              <w:jc w:val="center"/>
              <w:rPr>
                <w:rFonts w:ascii="Arial" w:hAnsi="Arial" w:cs="Arial"/>
                <w:b/>
                <w:bCs/>
                <w:sz w:val="20"/>
                <w:szCs w:val="20"/>
              </w:rPr>
            </w:pPr>
          </w:p>
        </w:tc>
      </w:tr>
      <w:tr w:rsidR="00DC1E9D" w14:paraId="1EAA3BA9" w14:textId="77777777" w:rsidTr="00DC1E9D">
        <w:tc>
          <w:tcPr>
            <w:tcW w:w="1317" w:type="dxa"/>
            <w:tcBorders>
              <w:left w:val="nil"/>
              <w:bottom w:val="nil"/>
              <w:right w:val="nil"/>
            </w:tcBorders>
            <w:vAlign w:val="center"/>
          </w:tcPr>
          <w:p w14:paraId="0E7C00EA" w14:textId="77777777" w:rsidR="00175A64" w:rsidRDefault="00175A64" w:rsidP="00B74215">
            <w:pPr>
              <w:jc w:val="center"/>
              <w:rPr>
                <w:rFonts w:ascii="Arial" w:hAnsi="Arial" w:cs="Arial"/>
                <w:b/>
                <w:bCs/>
                <w:sz w:val="20"/>
                <w:szCs w:val="20"/>
              </w:rPr>
            </w:pPr>
          </w:p>
        </w:tc>
        <w:tc>
          <w:tcPr>
            <w:tcW w:w="6030" w:type="dxa"/>
            <w:tcBorders>
              <w:left w:val="nil"/>
              <w:bottom w:val="nil"/>
              <w:right w:val="single" w:sz="4" w:space="0" w:color="auto"/>
            </w:tcBorders>
            <w:vAlign w:val="center"/>
          </w:tcPr>
          <w:p w14:paraId="59F47BF4" w14:textId="6DE893D3" w:rsidR="00175A64" w:rsidRPr="00D11F85" w:rsidRDefault="00175A64" w:rsidP="00F53349">
            <w:pPr>
              <w:jc w:val="right"/>
              <w:rPr>
                <w:rFonts w:ascii="Arial" w:hAnsi="Arial" w:cs="Arial"/>
                <w:b/>
                <w:bCs/>
                <w:sz w:val="20"/>
                <w:szCs w:val="20"/>
              </w:rPr>
            </w:pPr>
            <w:r>
              <w:rPr>
                <w:rFonts w:ascii="Arial" w:hAnsi="Arial" w:cs="Arial"/>
                <w:b/>
                <w:bCs/>
                <w:sz w:val="20"/>
                <w:szCs w:val="20"/>
              </w:rPr>
              <w:t>Stage 2 Total:</w:t>
            </w:r>
          </w:p>
        </w:tc>
        <w:tc>
          <w:tcPr>
            <w:tcW w:w="1346" w:type="dxa"/>
            <w:tcBorders>
              <w:left w:val="single" w:sz="4" w:space="0" w:color="auto"/>
              <w:bottom w:val="single" w:sz="4" w:space="0" w:color="auto"/>
              <w:right w:val="single" w:sz="4" w:space="0" w:color="auto"/>
            </w:tcBorders>
            <w:vAlign w:val="center"/>
          </w:tcPr>
          <w:p w14:paraId="1344270B" w14:textId="5754DF64" w:rsidR="00175A64" w:rsidRPr="00D11F85" w:rsidRDefault="00175A64" w:rsidP="00F53349">
            <w:pPr>
              <w:jc w:val="center"/>
              <w:rPr>
                <w:rFonts w:ascii="Arial" w:hAnsi="Arial" w:cs="Arial"/>
                <w:b/>
                <w:bCs/>
                <w:sz w:val="20"/>
                <w:szCs w:val="20"/>
              </w:rPr>
            </w:pPr>
            <w:r>
              <w:rPr>
                <w:rFonts w:ascii="Arial" w:hAnsi="Arial" w:cs="Arial"/>
                <w:b/>
                <w:bCs/>
                <w:sz w:val="20"/>
                <w:szCs w:val="20"/>
              </w:rPr>
              <w:t>750</w:t>
            </w:r>
          </w:p>
        </w:tc>
        <w:tc>
          <w:tcPr>
            <w:tcW w:w="1377" w:type="dxa"/>
            <w:tcBorders>
              <w:left w:val="single" w:sz="4" w:space="0" w:color="auto"/>
              <w:bottom w:val="single" w:sz="4" w:space="0" w:color="auto"/>
              <w:right w:val="single" w:sz="4" w:space="0" w:color="auto"/>
            </w:tcBorders>
          </w:tcPr>
          <w:p w14:paraId="389A9DF3" w14:textId="2A05B37E" w:rsidR="00175A64" w:rsidRPr="001776C8" w:rsidRDefault="00175A64" w:rsidP="00F53349">
            <w:pPr>
              <w:jc w:val="center"/>
              <w:rPr>
                <w:rFonts w:ascii="Arial" w:hAnsi="Arial" w:cs="Arial"/>
                <w:b/>
                <w:bCs/>
                <w:sz w:val="20"/>
                <w:szCs w:val="20"/>
              </w:rPr>
            </w:pPr>
          </w:p>
        </w:tc>
      </w:tr>
    </w:tbl>
    <w:p w14:paraId="7EC66824" w14:textId="75799B12" w:rsidR="00724704" w:rsidRDefault="00724704" w:rsidP="002444F9">
      <w:pPr>
        <w:spacing w:after="0"/>
        <w:rPr>
          <w:rFonts w:ascii="Arial" w:hAnsi="Arial" w:cs="Arial"/>
          <w:sz w:val="20"/>
          <w:szCs w:val="20"/>
        </w:rPr>
      </w:pPr>
    </w:p>
    <w:p w14:paraId="2D088F33" w14:textId="45AE4CB5" w:rsidR="00F01693" w:rsidRDefault="00F01693" w:rsidP="00F01693">
      <w:pPr>
        <w:rPr>
          <w:rFonts w:ascii="Arial" w:hAnsi="Arial" w:cs="Arial"/>
          <w:sz w:val="20"/>
          <w:szCs w:val="20"/>
        </w:rPr>
      </w:pPr>
      <w:r w:rsidRPr="00F75C88">
        <w:rPr>
          <w:rFonts w:ascii="Arial" w:hAnsi="Arial" w:cs="Arial"/>
          <w:sz w:val="20"/>
          <w:szCs w:val="20"/>
        </w:rPr>
        <w:t xml:space="preserve">At the Lead State’s discretion, points earned in the </w:t>
      </w:r>
      <w:r>
        <w:rPr>
          <w:rFonts w:ascii="Arial" w:hAnsi="Arial" w:cs="Arial"/>
          <w:sz w:val="20"/>
          <w:szCs w:val="20"/>
        </w:rPr>
        <w:t>Technical Criteria</w:t>
      </w:r>
      <w:r w:rsidRPr="00F75C88">
        <w:rPr>
          <w:rFonts w:ascii="Arial" w:hAnsi="Arial" w:cs="Arial"/>
          <w:sz w:val="20"/>
          <w:szCs w:val="20"/>
        </w:rPr>
        <w:t xml:space="preserve"> evaluation may be normalized and scaled to award the Offeror earning the highest total </w:t>
      </w:r>
      <w:r w:rsidR="00F530C7">
        <w:rPr>
          <w:rFonts w:ascii="Arial" w:hAnsi="Arial" w:cs="Arial"/>
          <w:sz w:val="20"/>
          <w:szCs w:val="20"/>
        </w:rPr>
        <w:t>technical</w:t>
      </w:r>
      <w:r w:rsidRPr="00F75C88">
        <w:rPr>
          <w:rFonts w:ascii="Arial" w:hAnsi="Arial" w:cs="Arial"/>
          <w:sz w:val="20"/>
          <w:szCs w:val="20"/>
        </w:rPr>
        <w:t xml:space="preserve"> score the maximum number of </w:t>
      </w:r>
      <w:r w:rsidR="00F530C7">
        <w:rPr>
          <w:rFonts w:ascii="Arial" w:hAnsi="Arial" w:cs="Arial"/>
          <w:sz w:val="20"/>
          <w:szCs w:val="20"/>
        </w:rPr>
        <w:t>technical</w:t>
      </w:r>
      <w:r w:rsidRPr="00F75C88">
        <w:rPr>
          <w:rFonts w:ascii="Arial" w:hAnsi="Arial" w:cs="Arial"/>
          <w:sz w:val="20"/>
          <w:szCs w:val="20"/>
        </w:rPr>
        <w:t xml:space="preserve"> points possible.</w:t>
      </w:r>
    </w:p>
    <w:p w14:paraId="5A00086F" w14:textId="2BED6B7B" w:rsidR="00791606" w:rsidRPr="00C00FD9" w:rsidRDefault="00791606" w:rsidP="00791606">
      <w:pPr>
        <w:rPr>
          <w:rFonts w:ascii="Arial" w:hAnsi="Arial" w:cs="Arial"/>
          <w:sz w:val="20"/>
          <w:szCs w:val="20"/>
        </w:rPr>
      </w:pPr>
      <w:r w:rsidRPr="00C00FD9">
        <w:rPr>
          <w:rFonts w:ascii="Arial" w:hAnsi="Arial" w:cs="Arial"/>
          <w:sz w:val="20"/>
          <w:szCs w:val="20"/>
        </w:rPr>
        <w:t xml:space="preserve">The Lead State and Multistate Sourcing Team will then determine which proposals will proceed to Stage </w:t>
      </w:r>
      <w:r w:rsidR="00C00FD9">
        <w:rPr>
          <w:rFonts w:ascii="Arial" w:hAnsi="Arial" w:cs="Arial"/>
          <w:sz w:val="20"/>
          <w:szCs w:val="20"/>
        </w:rPr>
        <w:t>3</w:t>
      </w:r>
      <w:r w:rsidRPr="00C00FD9">
        <w:rPr>
          <w:rFonts w:ascii="Arial" w:hAnsi="Arial" w:cs="Arial"/>
          <w:sz w:val="20"/>
          <w:szCs w:val="20"/>
        </w:rPr>
        <w:t>: Cost Evaluation. Methods used to make this determination may include, but are not limited to, one or more of the following:</w:t>
      </w:r>
    </w:p>
    <w:p w14:paraId="21BDEFCD" w14:textId="77777777" w:rsidR="00791606" w:rsidRPr="00C00FD9" w:rsidRDefault="00791606" w:rsidP="00791606">
      <w:pPr>
        <w:pStyle w:val="ListParagraph"/>
        <w:numPr>
          <w:ilvl w:val="0"/>
          <w:numId w:val="7"/>
        </w:numPr>
        <w:spacing w:after="240"/>
        <w:rPr>
          <w:rFonts w:ascii="Arial" w:hAnsi="Arial" w:cs="Arial"/>
          <w:sz w:val="20"/>
          <w:szCs w:val="20"/>
        </w:rPr>
      </w:pPr>
      <w:r w:rsidRPr="00C00FD9">
        <w:rPr>
          <w:rFonts w:ascii="Arial" w:hAnsi="Arial" w:cs="Arial"/>
          <w:sz w:val="20"/>
          <w:szCs w:val="20"/>
        </w:rPr>
        <w:t>Identification of a natural break in total scores</w:t>
      </w:r>
    </w:p>
    <w:p w14:paraId="553EF0A8" w14:textId="14312DC0" w:rsidR="001776C8" w:rsidRPr="00723C13" w:rsidRDefault="00791606" w:rsidP="009A7F9C">
      <w:pPr>
        <w:pStyle w:val="ListParagraph"/>
        <w:numPr>
          <w:ilvl w:val="0"/>
          <w:numId w:val="7"/>
        </w:numPr>
        <w:spacing w:after="240"/>
        <w:contextualSpacing w:val="0"/>
        <w:rPr>
          <w:rFonts w:ascii="Arial" w:hAnsi="Arial" w:cs="Arial"/>
          <w:sz w:val="20"/>
          <w:szCs w:val="20"/>
        </w:rPr>
      </w:pPr>
      <w:r w:rsidRPr="00723C13">
        <w:rPr>
          <w:rFonts w:ascii="Arial" w:hAnsi="Arial" w:cs="Arial"/>
          <w:sz w:val="20"/>
          <w:szCs w:val="20"/>
        </w:rPr>
        <w:t xml:space="preserve">Consideration of the optimal number of </w:t>
      </w:r>
      <w:r w:rsidR="0077269B">
        <w:rPr>
          <w:rFonts w:ascii="Arial" w:hAnsi="Arial" w:cs="Arial"/>
          <w:sz w:val="20"/>
          <w:szCs w:val="20"/>
        </w:rPr>
        <w:t>Suppliers</w:t>
      </w:r>
      <w:r w:rsidR="0077269B" w:rsidRPr="00723C13">
        <w:rPr>
          <w:rFonts w:ascii="Arial" w:hAnsi="Arial" w:cs="Arial"/>
          <w:sz w:val="20"/>
          <w:szCs w:val="20"/>
        </w:rPr>
        <w:t xml:space="preserve"> </w:t>
      </w:r>
      <w:r w:rsidRPr="00723C13">
        <w:rPr>
          <w:rFonts w:ascii="Arial" w:hAnsi="Arial" w:cs="Arial"/>
          <w:sz w:val="20"/>
          <w:szCs w:val="20"/>
        </w:rPr>
        <w:t>required to successfully supply Deliverables to Participating Entities and Purchasing Entities</w:t>
      </w:r>
    </w:p>
    <w:p w14:paraId="6C2C671A" w14:textId="59E8691E" w:rsidR="00E813A8" w:rsidRDefault="00185B6D" w:rsidP="00724704">
      <w:pPr>
        <w:rPr>
          <w:rFonts w:ascii="Arial" w:hAnsi="Arial" w:cs="Arial"/>
          <w:sz w:val="20"/>
          <w:szCs w:val="20"/>
        </w:rPr>
      </w:pPr>
      <w:r w:rsidRPr="00185B6D">
        <w:rPr>
          <w:rFonts w:ascii="Arial" w:hAnsi="Arial" w:cs="Arial"/>
          <w:b/>
          <w:bCs/>
          <w:sz w:val="20"/>
          <w:szCs w:val="20"/>
          <w:u w:val="single"/>
        </w:rPr>
        <w:t xml:space="preserve">Stage </w:t>
      </w:r>
      <w:r w:rsidR="00E174F9">
        <w:rPr>
          <w:rFonts w:ascii="Arial" w:hAnsi="Arial" w:cs="Arial"/>
          <w:b/>
          <w:bCs/>
          <w:sz w:val="20"/>
          <w:szCs w:val="20"/>
          <w:u w:val="single"/>
        </w:rPr>
        <w:t>3</w:t>
      </w:r>
      <w:r w:rsidRPr="00185B6D">
        <w:rPr>
          <w:rFonts w:ascii="Arial" w:hAnsi="Arial" w:cs="Arial"/>
          <w:b/>
          <w:bCs/>
          <w:sz w:val="20"/>
          <w:szCs w:val="20"/>
          <w:u w:val="single"/>
        </w:rPr>
        <w:t>: Cost</w:t>
      </w:r>
      <w:r w:rsidR="00C42C3A">
        <w:rPr>
          <w:rFonts w:ascii="Arial" w:hAnsi="Arial" w:cs="Arial"/>
          <w:b/>
          <w:bCs/>
          <w:sz w:val="20"/>
          <w:szCs w:val="20"/>
          <w:u w:val="single"/>
        </w:rPr>
        <w:t xml:space="preserve"> Evaluation</w:t>
      </w:r>
      <w:r w:rsidRPr="00185B6D">
        <w:rPr>
          <w:rFonts w:ascii="Arial" w:hAnsi="Arial" w:cs="Arial"/>
          <w:b/>
          <w:bCs/>
          <w:sz w:val="20"/>
          <w:szCs w:val="20"/>
          <w:u w:val="single"/>
        </w:rPr>
        <w:t>.</w:t>
      </w:r>
      <w:r w:rsidRPr="00185B6D">
        <w:rPr>
          <w:rFonts w:ascii="Arial" w:hAnsi="Arial" w:cs="Arial"/>
          <w:sz w:val="20"/>
          <w:szCs w:val="20"/>
        </w:rPr>
        <w:t xml:space="preserve"> Cost Proposals for proposals not rejected following evaluation of </w:t>
      </w:r>
      <w:r w:rsidR="0090030C">
        <w:rPr>
          <w:rFonts w:ascii="Arial" w:hAnsi="Arial" w:cs="Arial"/>
          <w:sz w:val="20"/>
          <w:szCs w:val="20"/>
        </w:rPr>
        <w:t>Technical</w:t>
      </w:r>
      <w:r w:rsidRPr="00185B6D">
        <w:rPr>
          <w:rFonts w:ascii="Arial" w:hAnsi="Arial" w:cs="Arial"/>
          <w:sz w:val="20"/>
          <w:szCs w:val="20"/>
        </w:rPr>
        <w:t xml:space="preserve"> Criteria will be evaluated</w:t>
      </w:r>
      <w:r w:rsidR="00F774D5">
        <w:rPr>
          <w:rFonts w:ascii="Arial" w:hAnsi="Arial" w:cs="Arial"/>
          <w:sz w:val="20"/>
          <w:szCs w:val="20"/>
        </w:rPr>
        <w:t xml:space="preserve"> based on</w:t>
      </w:r>
      <w:r w:rsidR="0009091E">
        <w:rPr>
          <w:rFonts w:ascii="Arial" w:hAnsi="Arial" w:cs="Arial"/>
          <w:sz w:val="20"/>
          <w:szCs w:val="20"/>
        </w:rPr>
        <w:t xml:space="preserve"> MSRP/List </w:t>
      </w:r>
      <w:r w:rsidR="00E813A8">
        <w:rPr>
          <w:rFonts w:ascii="Arial" w:hAnsi="Arial" w:cs="Arial"/>
          <w:sz w:val="20"/>
          <w:szCs w:val="20"/>
        </w:rPr>
        <w:t>Price</w:t>
      </w:r>
      <w:r w:rsidR="0009091E">
        <w:rPr>
          <w:rFonts w:ascii="Arial" w:hAnsi="Arial" w:cs="Arial"/>
          <w:sz w:val="20"/>
          <w:szCs w:val="20"/>
        </w:rPr>
        <w:t xml:space="preserve"> Discount Percentages</w:t>
      </w:r>
      <w:r w:rsidR="00F774D5">
        <w:rPr>
          <w:rFonts w:ascii="Arial" w:hAnsi="Arial" w:cs="Arial"/>
          <w:sz w:val="20"/>
          <w:szCs w:val="20"/>
        </w:rPr>
        <w:t>.</w:t>
      </w:r>
      <w:r w:rsidRPr="00E813A8">
        <w:rPr>
          <w:rFonts w:ascii="Arial" w:hAnsi="Arial" w:cs="Arial"/>
          <w:sz w:val="20"/>
          <w:szCs w:val="20"/>
        </w:rPr>
        <w:t xml:space="preserve"> </w:t>
      </w:r>
      <w:r w:rsidR="00E813A8" w:rsidRPr="00E813A8">
        <w:rPr>
          <w:rFonts w:ascii="Arial" w:hAnsi="Arial" w:cs="Arial"/>
          <w:sz w:val="20"/>
          <w:szCs w:val="20"/>
        </w:rPr>
        <w:t xml:space="preserve"> </w:t>
      </w:r>
      <w:r w:rsidR="00724704" w:rsidRPr="00E813A8">
        <w:rPr>
          <w:rFonts w:ascii="Arial" w:hAnsi="Arial" w:cs="Arial"/>
          <w:sz w:val="20"/>
          <w:szCs w:val="20"/>
        </w:rPr>
        <w:t xml:space="preserve">The contents of Attachment </w:t>
      </w:r>
      <w:r w:rsidR="007353C7" w:rsidRPr="00E813A8">
        <w:rPr>
          <w:rFonts w:ascii="Arial" w:hAnsi="Arial" w:cs="Arial"/>
          <w:sz w:val="20"/>
          <w:szCs w:val="20"/>
        </w:rPr>
        <w:t xml:space="preserve">I – </w:t>
      </w:r>
      <w:r w:rsidR="00724704" w:rsidRPr="00E813A8">
        <w:rPr>
          <w:rFonts w:ascii="Arial" w:hAnsi="Arial" w:cs="Arial"/>
          <w:sz w:val="20"/>
          <w:szCs w:val="20"/>
        </w:rPr>
        <w:t>Cost Proposal will be scored as follows:</w:t>
      </w:r>
    </w:p>
    <w:p w14:paraId="495F1BFB" w14:textId="07550AAF" w:rsidR="00724704" w:rsidRPr="005F2B76" w:rsidRDefault="00425D5E" w:rsidP="00724704">
      <w:pPr>
        <w:rPr>
          <w:rFonts w:ascii="Arial" w:hAnsi="Arial" w:cs="Arial"/>
          <w:b/>
          <w:bCs/>
          <w:sz w:val="20"/>
          <w:szCs w:val="20"/>
        </w:rPr>
      </w:pPr>
      <w:r>
        <w:rPr>
          <w:rFonts w:ascii="Arial" w:hAnsi="Arial" w:cs="Arial"/>
          <w:b/>
          <w:bCs/>
          <w:sz w:val="20"/>
          <w:szCs w:val="20"/>
        </w:rPr>
        <w:t xml:space="preserve">MSRP/LIST </w:t>
      </w:r>
      <w:r w:rsidR="005937C3">
        <w:rPr>
          <w:rFonts w:ascii="Arial" w:hAnsi="Arial" w:cs="Arial"/>
          <w:b/>
          <w:bCs/>
          <w:sz w:val="20"/>
          <w:szCs w:val="20"/>
        </w:rPr>
        <w:t xml:space="preserve">PRICE </w:t>
      </w:r>
      <w:r w:rsidR="00E953E9">
        <w:rPr>
          <w:rFonts w:ascii="Arial" w:hAnsi="Arial" w:cs="Arial"/>
          <w:b/>
          <w:bCs/>
          <w:sz w:val="20"/>
          <w:szCs w:val="20"/>
        </w:rPr>
        <w:t>PERCENTAGE</w:t>
      </w:r>
      <w:r w:rsidR="00724704">
        <w:rPr>
          <w:rFonts w:ascii="Arial" w:hAnsi="Arial" w:cs="Arial"/>
          <w:b/>
          <w:bCs/>
          <w:sz w:val="20"/>
          <w:szCs w:val="20"/>
        </w:rPr>
        <w:t xml:space="preserve"> DISCOUNTS</w:t>
      </w:r>
    </w:p>
    <w:tbl>
      <w:tblPr>
        <w:tblStyle w:val="TableGrid"/>
        <w:tblW w:w="0" w:type="auto"/>
        <w:tblLook w:val="04A0" w:firstRow="1" w:lastRow="0" w:firstColumn="1" w:lastColumn="0" w:noHBand="0" w:noVBand="1"/>
      </w:tblPr>
      <w:tblGrid>
        <w:gridCol w:w="3055"/>
        <w:gridCol w:w="1753"/>
        <w:gridCol w:w="1754"/>
        <w:gridCol w:w="1754"/>
        <w:gridCol w:w="1754"/>
      </w:tblGrid>
      <w:tr w:rsidR="00724704" w:rsidRPr="00AC6484" w14:paraId="67107C60" w14:textId="77777777" w:rsidTr="0033042C">
        <w:tc>
          <w:tcPr>
            <w:tcW w:w="3055" w:type="dxa"/>
            <w:shd w:val="clear" w:color="auto" w:fill="D9D9D9" w:themeFill="background1" w:themeFillShade="D9"/>
            <w:vAlign w:val="center"/>
          </w:tcPr>
          <w:p w14:paraId="60C13D41" w14:textId="7BA2630E" w:rsidR="00724704" w:rsidRPr="00AC6484" w:rsidRDefault="00F51A6C" w:rsidP="001776C8">
            <w:pPr>
              <w:jc w:val="center"/>
              <w:rPr>
                <w:rFonts w:ascii="Arial" w:hAnsi="Arial" w:cs="Arial"/>
                <w:b/>
                <w:bCs/>
                <w:sz w:val="20"/>
                <w:szCs w:val="20"/>
              </w:rPr>
            </w:pPr>
            <w:r w:rsidRPr="00AC6484">
              <w:rPr>
                <w:rFonts w:ascii="Arial" w:hAnsi="Arial" w:cs="Arial"/>
                <w:b/>
                <w:bCs/>
                <w:sz w:val="20"/>
                <w:szCs w:val="20"/>
              </w:rPr>
              <w:t>Category</w:t>
            </w:r>
          </w:p>
        </w:tc>
        <w:tc>
          <w:tcPr>
            <w:tcW w:w="1753" w:type="dxa"/>
            <w:shd w:val="clear" w:color="auto" w:fill="D9D9D9" w:themeFill="background1" w:themeFillShade="D9"/>
            <w:vAlign w:val="center"/>
          </w:tcPr>
          <w:p w14:paraId="7057D4FB" w14:textId="11DD78BC" w:rsidR="00724704" w:rsidRPr="00AC6484" w:rsidRDefault="005F2992" w:rsidP="001776C8">
            <w:pPr>
              <w:jc w:val="center"/>
              <w:rPr>
                <w:rFonts w:ascii="Arial" w:hAnsi="Arial" w:cs="Arial"/>
                <w:b/>
                <w:bCs/>
                <w:sz w:val="20"/>
                <w:szCs w:val="20"/>
              </w:rPr>
            </w:pPr>
            <w:r w:rsidRPr="00AC6484">
              <w:rPr>
                <w:rFonts w:ascii="Arial" w:hAnsi="Arial" w:cs="Arial"/>
                <w:b/>
                <w:bCs/>
                <w:sz w:val="20"/>
                <w:szCs w:val="20"/>
              </w:rPr>
              <w:t>Highest Responsive Proposal Percentage Discount</w:t>
            </w:r>
          </w:p>
        </w:tc>
        <w:tc>
          <w:tcPr>
            <w:tcW w:w="1754" w:type="dxa"/>
            <w:shd w:val="clear" w:color="auto" w:fill="D9D9D9" w:themeFill="background1" w:themeFillShade="D9"/>
            <w:vAlign w:val="center"/>
          </w:tcPr>
          <w:p w14:paraId="74929060" w14:textId="752F6D37" w:rsidR="00724704" w:rsidRPr="00AC6484" w:rsidRDefault="00724704" w:rsidP="001776C8">
            <w:pPr>
              <w:jc w:val="center"/>
              <w:rPr>
                <w:rFonts w:ascii="Arial" w:hAnsi="Arial" w:cs="Arial"/>
                <w:b/>
                <w:bCs/>
                <w:sz w:val="20"/>
                <w:szCs w:val="20"/>
              </w:rPr>
            </w:pPr>
            <w:r w:rsidRPr="00AC6484">
              <w:rPr>
                <w:rFonts w:ascii="Arial" w:hAnsi="Arial" w:cs="Arial"/>
                <w:b/>
                <w:bCs/>
                <w:sz w:val="20"/>
                <w:szCs w:val="20"/>
              </w:rPr>
              <w:t xml:space="preserve">Offeror’s </w:t>
            </w:r>
            <w:r w:rsidR="00634AA6" w:rsidRPr="00AC6484">
              <w:rPr>
                <w:rFonts w:ascii="Arial" w:hAnsi="Arial" w:cs="Arial"/>
                <w:b/>
                <w:bCs/>
                <w:sz w:val="20"/>
                <w:szCs w:val="20"/>
              </w:rPr>
              <w:t xml:space="preserve">Proposed </w:t>
            </w:r>
            <w:r w:rsidR="00EB4F7A" w:rsidRPr="00AC6484">
              <w:rPr>
                <w:rFonts w:ascii="Arial" w:hAnsi="Arial" w:cs="Arial"/>
                <w:b/>
                <w:bCs/>
                <w:sz w:val="20"/>
                <w:szCs w:val="20"/>
              </w:rPr>
              <w:t xml:space="preserve">Percentage </w:t>
            </w:r>
            <w:r w:rsidRPr="00AC6484">
              <w:rPr>
                <w:rFonts w:ascii="Arial" w:hAnsi="Arial" w:cs="Arial"/>
                <w:b/>
                <w:bCs/>
                <w:sz w:val="20"/>
                <w:szCs w:val="20"/>
              </w:rPr>
              <w:t>Discount</w:t>
            </w:r>
          </w:p>
        </w:tc>
        <w:tc>
          <w:tcPr>
            <w:tcW w:w="1754" w:type="dxa"/>
            <w:shd w:val="clear" w:color="auto" w:fill="D9D9D9" w:themeFill="background1" w:themeFillShade="D9"/>
            <w:vAlign w:val="center"/>
          </w:tcPr>
          <w:p w14:paraId="35B9A1FF" w14:textId="77DFA67E" w:rsidR="00724704" w:rsidRPr="00AC6484" w:rsidRDefault="00167836" w:rsidP="001776C8">
            <w:pPr>
              <w:jc w:val="center"/>
              <w:rPr>
                <w:rFonts w:ascii="Arial" w:hAnsi="Arial" w:cs="Arial"/>
                <w:b/>
                <w:bCs/>
                <w:sz w:val="20"/>
                <w:szCs w:val="20"/>
              </w:rPr>
            </w:pPr>
            <w:r w:rsidRPr="00AC6484">
              <w:rPr>
                <w:rFonts w:ascii="Arial" w:hAnsi="Arial" w:cs="Arial"/>
                <w:b/>
                <w:bCs/>
                <w:sz w:val="20"/>
                <w:szCs w:val="20"/>
              </w:rPr>
              <w:t xml:space="preserve">Cost </w:t>
            </w:r>
            <w:r w:rsidR="00724704" w:rsidRPr="00AC6484">
              <w:rPr>
                <w:rFonts w:ascii="Arial" w:hAnsi="Arial" w:cs="Arial"/>
                <w:b/>
                <w:bCs/>
                <w:sz w:val="20"/>
                <w:szCs w:val="20"/>
              </w:rPr>
              <w:t>Points Possible</w:t>
            </w:r>
          </w:p>
        </w:tc>
        <w:tc>
          <w:tcPr>
            <w:tcW w:w="1754" w:type="dxa"/>
            <w:shd w:val="clear" w:color="auto" w:fill="D9D9D9" w:themeFill="background1" w:themeFillShade="D9"/>
            <w:vAlign w:val="center"/>
          </w:tcPr>
          <w:p w14:paraId="2D887580" w14:textId="018F0B00" w:rsidR="00724704" w:rsidRPr="00AC6484" w:rsidRDefault="001776C8" w:rsidP="001776C8">
            <w:pPr>
              <w:jc w:val="center"/>
              <w:rPr>
                <w:rFonts w:ascii="Arial" w:hAnsi="Arial" w:cs="Arial"/>
                <w:b/>
                <w:bCs/>
                <w:sz w:val="20"/>
                <w:szCs w:val="20"/>
              </w:rPr>
            </w:pPr>
            <w:r w:rsidRPr="00AC6484">
              <w:rPr>
                <w:rFonts w:ascii="Arial" w:hAnsi="Arial" w:cs="Arial"/>
                <w:b/>
                <w:bCs/>
                <w:sz w:val="20"/>
                <w:szCs w:val="20"/>
              </w:rPr>
              <w:t xml:space="preserve">Offeror’s </w:t>
            </w:r>
            <w:r w:rsidR="00167836" w:rsidRPr="00AC6484">
              <w:rPr>
                <w:rFonts w:ascii="Arial" w:hAnsi="Arial" w:cs="Arial"/>
                <w:b/>
                <w:bCs/>
                <w:sz w:val="20"/>
                <w:szCs w:val="20"/>
              </w:rPr>
              <w:t xml:space="preserve">Cost </w:t>
            </w:r>
            <w:r w:rsidR="00724704" w:rsidRPr="00AC6484">
              <w:rPr>
                <w:rFonts w:ascii="Arial" w:hAnsi="Arial" w:cs="Arial"/>
                <w:b/>
                <w:bCs/>
                <w:sz w:val="20"/>
                <w:szCs w:val="20"/>
              </w:rPr>
              <w:t>Points Earned</w:t>
            </w:r>
          </w:p>
        </w:tc>
      </w:tr>
      <w:tr w:rsidR="00724704" w:rsidRPr="00AC6484" w14:paraId="2D344719" w14:textId="77777777" w:rsidTr="0033042C">
        <w:tc>
          <w:tcPr>
            <w:tcW w:w="3055" w:type="dxa"/>
            <w:vAlign w:val="center"/>
          </w:tcPr>
          <w:p w14:paraId="7E8056A6" w14:textId="3D18E421" w:rsidR="00724704" w:rsidRPr="00AC6484" w:rsidRDefault="006B2AE2">
            <w:pPr>
              <w:rPr>
                <w:rFonts w:ascii="Arial" w:hAnsi="Arial" w:cs="Arial"/>
                <w:sz w:val="20"/>
                <w:szCs w:val="20"/>
              </w:rPr>
            </w:pPr>
            <w:r w:rsidRPr="00AC6484">
              <w:rPr>
                <w:rFonts w:ascii="Arial" w:hAnsi="Arial" w:cs="Arial"/>
                <w:sz w:val="20"/>
                <w:szCs w:val="20"/>
              </w:rPr>
              <w:t>Market Basket 0101.07</w:t>
            </w:r>
            <w:r w:rsidR="00F51A6C" w:rsidRPr="00AC6484">
              <w:rPr>
                <w:rFonts w:ascii="Arial" w:hAnsi="Arial" w:cs="Arial"/>
                <w:sz w:val="20"/>
                <w:szCs w:val="20"/>
              </w:rPr>
              <w:t xml:space="preserve"> (category discount)</w:t>
            </w:r>
          </w:p>
        </w:tc>
        <w:tc>
          <w:tcPr>
            <w:tcW w:w="1753" w:type="dxa"/>
            <w:vAlign w:val="center"/>
          </w:tcPr>
          <w:p w14:paraId="1C890E1A" w14:textId="571E211B" w:rsidR="00724704" w:rsidRPr="00AC6484" w:rsidRDefault="0033042C">
            <w:pPr>
              <w:jc w:val="center"/>
              <w:rPr>
                <w:rFonts w:ascii="Arial" w:hAnsi="Arial" w:cs="Arial"/>
                <w:sz w:val="20"/>
                <w:szCs w:val="20"/>
              </w:rPr>
            </w:pPr>
            <w:r w:rsidRPr="00AC6484">
              <w:rPr>
                <w:rFonts w:ascii="Arial" w:hAnsi="Arial" w:cs="Arial"/>
                <w:sz w:val="20"/>
                <w:szCs w:val="20"/>
              </w:rPr>
              <w:t>%</w:t>
            </w:r>
          </w:p>
        </w:tc>
        <w:tc>
          <w:tcPr>
            <w:tcW w:w="1754" w:type="dxa"/>
            <w:vAlign w:val="center"/>
          </w:tcPr>
          <w:p w14:paraId="50EEAF38" w14:textId="6EA90B73" w:rsidR="00724704" w:rsidRPr="00AC6484" w:rsidRDefault="00A572AE">
            <w:pPr>
              <w:jc w:val="center"/>
              <w:rPr>
                <w:rFonts w:ascii="Arial" w:hAnsi="Arial" w:cs="Arial"/>
                <w:sz w:val="20"/>
                <w:szCs w:val="20"/>
              </w:rPr>
            </w:pPr>
            <w:r w:rsidRPr="00AC6484">
              <w:rPr>
                <w:rFonts w:ascii="Arial" w:hAnsi="Arial" w:cs="Arial"/>
                <w:sz w:val="20"/>
                <w:szCs w:val="20"/>
              </w:rPr>
              <w:t>%</w:t>
            </w:r>
          </w:p>
        </w:tc>
        <w:tc>
          <w:tcPr>
            <w:tcW w:w="1754" w:type="dxa"/>
            <w:vAlign w:val="center"/>
          </w:tcPr>
          <w:p w14:paraId="6FC4E4E3" w14:textId="4C86694E" w:rsidR="00724704" w:rsidRPr="00AC6484" w:rsidRDefault="00AB2646">
            <w:pPr>
              <w:jc w:val="center"/>
              <w:rPr>
                <w:rFonts w:ascii="Arial" w:hAnsi="Arial" w:cs="Arial"/>
                <w:sz w:val="20"/>
                <w:szCs w:val="20"/>
              </w:rPr>
            </w:pPr>
            <w:r w:rsidRPr="00AC6484">
              <w:rPr>
                <w:rFonts w:ascii="Arial" w:hAnsi="Arial" w:cs="Arial"/>
                <w:sz w:val="20"/>
                <w:szCs w:val="20"/>
              </w:rPr>
              <w:t>125</w:t>
            </w:r>
          </w:p>
        </w:tc>
        <w:tc>
          <w:tcPr>
            <w:tcW w:w="1754" w:type="dxa"/>
            <w:vAlign w:val="center"/>
          </w:tcPr>
          <w:p w14:paraId="6F8DC7BB" w14:textId="02DEB7A8" w:rsidR="00724704" w:rsidRPr="00AC6484" w:rsidRDefault="00724704">
            <w:pPr>
              <w:jc w:val="center"/>
              <w:rPr>
                <w:rFonts w:ascii="Arial" w:hAnsi="Arial" w:cs="Arial"/>
                <w:sz w:val="20"/>
                <w:szCs w:val="20"/>
              </w:rPr>
            </w:pPr>
          </w:p>
        </w:tc>
      </w:tr>
      <w:tr w:rsidR="001B2083" w:rsidRPr="00AC6484" w14:paraId="70A88FEF" w14:textId="77777777" w:rsidTr="0033042C">
        <w:tc>
          <w:tcPr>
            <w:tcW w:w="3055" w:type="dxa"/>
            <w:vAlign w:val="center"/>
          </w:tcPr>
          <w:p w14:paraId="4CA6C70F" w14:textId="77777777" w:rsidR="001B2083" w:rsidRPr="00AC6484" w:rsidRDefault="001B2083" w:rsidP="007575B1">
            <w:pPr>
              <w:rPr>
                <w:rFonts w:ascii="Arial" w:hAnsi="Arial" w:cs="Arial"/>
                <w:sz w:val="20"/>
                <w:szCs w:val="20"/>
              </w:rPr>
            </w:pPr>
            <w:r w:rsidRPr="00AC6484">
              <w:rPr>
                <w:rFonts w:ascii="Arial" w:hAnsi="Arial" w:cs="Arial"/>
                <w:sz w:val="20"/>
                <w:szCs w:val="20"/>
              </w:rPr>
              <w:t>Market Basket 0101.06 (average discount for category)</w:t>
            </w:r>
          </w:p>
        </w:tc>
        <w:tc>
          <w:tcPr>
            <w:tcW w:w="1753" w:type="dxa"/>
            <w:vAlign w:val="center"/>
          </w:tcPr>
          <w:p w14:paraId="352F64E3" w14:textId="39E8E4AC" w:rsidR="001B2083" w:rsidRPr="00AC6484" w:rsidRDefault="0033042C" w:rsidP="007575B1">
            <w:pPr>
              <w:jc w:val="center"/>
              <w:rPr>
                <w:rFonts w:ascii="Arial" w:hAnsi="Arial" w:cs="Arial"/>
                <w:sz w:val="20"/>
                <w:szCs w:val="20"/>
              </w:rPr>
            </w:pPr>
            <w:r w:rsidRPr="00AC6484">
              <w:rPr>
                <w:rFonts w:ascii="Arial" w:hAnsi="Arial" w:cs="Arial"/>
                <w:sz w:val="20"/>
                <w:szCs w:val="20"/>
              </w:rPr>
              <w:t>%</w:t>
            </w:r>
          </w:p>
        </w:tc>
        <w:tc>
          <w:tcPr>
            <w:tcW w:w="1754" w:type="dxa"/>
            <w:vAlign w:val="center"/>
          </w:tcPr>
          <w:p w14:paraId="763E3B84" w14:textId="41015DB5" w:rsidR="001B2083" w:rsidRPr="00AC6484" w:rsidRDefault="0033042C" w:rsidP="007575B1">
            <w:pPr>
              <w:jc w:val="center"/>
              <w:rPr>
                <w:rFonts w:ascii="Arial" w:hAnsi="Arial" w:cs="Arial"/>
                <w:sz w:val="20"/>
                <w:szCs w:val="20"/>
              </w:rPr>
            </w:pPr>
            <w:r w:rsidRPr="00AC6484">
              <w:rPr>
                <w:rFonts w:ascii="Arial" w:hAnsi="Arial" w:cs="Arial"/>
                <w:sz w:val="20"/>
                <w:szCs w:val="20"/>
              </w:rPr>
              <w:t>%</w:t>
            </w:r>
          </w:p>
        </w:tc>
        <w:tc>
          <w:tcPr>
            <w:tcW w:w="1754" w:type="dxa"/>
            <w:vAlign w:val="center"/>
          </w:tcPr>
          <w:p w14:paraId="4C7E3C1A" w14:textId="34966AD4" w:rsidR="001B2083" w:rsidRPr="00AC6484" w:rsidRDefault="00AB2646" w:rsidP="007575B1">
            <w:pPr>
              <w:jc w:val="center"/>
              <w:rPr>
                <w:rFonts w:ascii="Arial" w:hAnsi="Arial" w:cs="Arial"/>
                <w:sz w:val="20"/>
                <w:szCs w:val="20"/>
              </w:rPr>
            </w:pPr>
            <w:r w:rsidRPr="00AC6484">
              <w:rPr>
                <w:rFonts w:ascii="Arial" w:hAnsi="Arial" w:cs="Arial"/>
                <w:sz w:val="20"/>
                <w:szCs w:val="20"/>
              </w:rPr>
              <w:t>125</w:t>
            </w:r>
          </w:p>
        </w:tc>
        <w:tc>
          <w:tcPr>
            <w:tcW w:w="1754" w:type="dxa"/>
            <w:vAlign w:val="center"/>
          </w:tcPr>
          <w:p w14:paraId="21D482BF" w14:textId="77777777" w:rsidR="001B2083" w:rsidRPr="00AC6484" w:rsidRDefault="001B2083" w:rsidP="007575B1">
            <w:pPr>
              <w:jc w:val="center"/>
              <w:rPr>
                <w:rFonts w:ascii="Arial" w:hAnsi="Arial" w:cs="Arial"/>
                <w:sz w:val="20"/>
                <w:szCs w:val="20"/>
              </w:rPr>
            </w:pPr>
          </w:p>
        </w:tc>
      </w:tr>
      <w:tr w:rsidR="002444F9" w14:paraId="5057A3C3" w14:textId="77777777" w:rsidTr="0033042C">
        <w:tc>
          <w:tcPr>
            <w:tcW w:w="3055" w:type="dxa"/>
            <w:tcBorders>
              <w:left w:val="nil"/>
              <w:bottom w:val="nil"/>
              <w:right w:val="nil"/>
            </w:tcBorders>
            <w:vAlign w:val="center"/>
          </w:tcPr>
          <w:p w14:paraId="06153A8D" w14:textId="77777777" w:rsidR="002444F9" w:rsidRPr="00AC6484" w:rsidRDefault="002444F9">
            <w:pPr>
              <w:rPr>
                <w:rFonts w:ascii="Arial" w:hAnsi="Arial" w:cs="Arial"/>
                <w:sz w:val="20"/>
                <w:szCs w:val="20"/>
              </w:rPr>
            </w:pPr>
          </w:p>
        </w:tc>
        <w:tc>
          <w:tcPr>
            <w:tcW w:w="1753" w:type="dxa"/>
            <w:tcBorders>
              <w:left w:val="nil"/>
              <w:bottom w:val="nil"/>
              <w:right w:val="nil"/>
            </w:tcBorders>
            <w:vAlign w:val="center"/>
          </w:tcPr>
          <w:p w14:paraId="7773DE9A" w14:textId="77777777" w:rsidR="002444F9" w:rsidRPr="00AC6484" w:rsidRDefault="002444F9">
            <w:pPr>
              <w:jc w:val="center"/>
              <w:rPr>
                <w:rFonts w:ascii="Arial" w:hAnsi="Arial" w:cs="Arial"/>
                <w:sz w:val="20"/>
                <w:szCs w:val="20"/>
              </w:rPr>
            </w:pPr>
          </w:p>
        </w:tc>
        <w:tc>
          <w:tcPr>
            <w:tcW w:w="1754" w:type="dxa"/>
            <w:tcBorders>
              <w:left w:val="nil"/>
              <w:bottom w:val="nil"/>
            </w:tcBorders>
            <w:vAlign w:val="center"/>
          </w:tcPr>
          <w:p w14:paraId="332FC0AB" w14:textId="77777777" w:rsidR="002444F9" w:rsidRPr="00AC6484" w:rsidRDefault="002444F9">
            <w:pPr>
              <w:jc w:val="right"/>
              <w:rPr>
                <w:rFonts w:ascii="Arial" w:hAnsi="Arial" w:cs="Arial"/>
                <w:b/>
                <w:bCs/>
                <w:sz w:val="20"/>
                <w:szCs w:val="20"/>
              </w:rPr>
            </w:pPr>
            <w:r w:rsidRPr="00AC6484">
              <w:rPr>
                <w:rFonts w:ascii="Arial" w:hAnsi="Arial" w:cs="Arial"/>
                <w:b/>
                <w:bCs/>
                <w:sz w:val="20"/>
                <w:szCs w:val="20"/>
              </w:rPr>
              <w:t>Total:</w:t>
            </w:r>
          </w:p>
        </w:tc>
        <w:tc>
          <w:tcPr>
            <w:tcW w:w="1754" w:type="dxa"/>
            <w:vAlign w:val="center"/>
          </w:tcPr>
          <w:p w14:paraId="49FF2A60" w14:textId="60879FC3" w:rsidR="002444F9" w:rsidRPr="007751C3" w:rsidRDefault="008D1B39">
            <w:pPr>
              <w:jc w:val="center"/>
              <w:rPr>
                <w:rFonts w:ascii="Arial" w:hAnsi="Arial" w:cs="Arial"/>
                <w:b/>
                <w:bCs/>
                <w:sz w:val="20"/>
                <w:szCs w:val="20"/>
              </w:rPr>
            </w:pPr>
            <w:r w:rsidRPr="00AC6484">
              <w:rPr>
                <w:rFonts w:ascii="Arial" w:hAnsi="Arial" w:cs="Arial"/>
                <w:b/>
                <w:bCs/>
                <w:sz w:val="20"/>
                <w:szCs w:val="20"/>
              </w:rPr>
              <w:t>250</w:t>
            </w:r>
          </w:p>
        </w:tc>
        <w:tc>
          <w:tcPr>
            <w:tcW w:w="1754" w:type="dxa"/>
            <w:vAlign w:val="center"/>
          </w:tcPr>
          <w:p w14:paraId="5D097EF0" w14:textId="77777777" w:rsidR="002444F9" w:rsidRDefault="002444F9">
            <w:pPr>
              <w:jc w:val="center"/>
              <w:rPr>
                <w:rFonts w:ascii="Arial" w:hAnsi="Arial" w:cs="Arial"/>
                <w:sz w:val="20"/>
                <w:szCs w:val="20"/>
              </w:rPr>
            </w:pPr>
          </w:p>
        </w:tc>
      </w:tr>
    </w:tbl>
    <w:p w14:paraId="21159DC9" w14:textId="77777777" w:rsidR="002444F9" w:rsidRDefault="002444F9" w:rsidP="002444F9">
      <w:pPr>
        <w:spacing w:after="0"/>
        <w:rPr>
          <w:rFonts w:ascii="Arial" w:hAnsi="Arial" w:cs="Arial"/>
          <w:sz w:val="20"/>
          <w:szCs w:val="20"/>
        </w:rPr>
      </w:pPr>
    </w:p>
    <w:tbl>
      <w:tblPr>
        <w:tblStyle w:val="TableGrid"/>
        <w:tblW w:w="0" w:type="auto"/>
        <w:tblLook w:val="04A0" w:firstRow="1" w:lastRow="0" w:firstColumn="1" w:lastColumn="0" w:noHBand="0" w:noVBand="1"/>
      </w:tblPr>
      <w:tblGrid>
        <w:gridCol w:w="3055"/>
        <w:gridCol w:w="1753"/>
        <w:gridCol w:w="1754"/>
        <w:gridCol w:w="1754"/>
        <w:gridCol w:w="1754"/>
      </w:tblGrid>
      <w:tr w:rsidR="000E218E" w:rsidRPr="0033042C" w14:paraId="241E8067" w14:textId="77777777" w:rsidTr="0033042C">
        <w:tc>
          <w:tcPr>
            <w:tcW w:w="3055" w:type="dxa"/>
            <w:shd w:val="clear" w:color="auto" w:fill="D9D9D9" w:themeFill="background1" w:themeFillShade="D9"/>
            <w:vAlign w:val="center"/>
          </w:tcPr>
          <w:p w14:paraId="1DF91BDE" w14:textId="77777777" w:rsidR="000D772C" w:rsidRPr="0033042C" w:rsidRDefault="000D772C" w:rsidP="001D31E6">
            <w:pPr>
              <w:jc w:val="center"/>
              <w:rPr>
                <w:rFonts w:ascii="Arial" w:hAnsi="Arial" w:cs="Arial"/>
                <w:b/>
                <w:bCs/>
                <w:sz w:val="20"/>
                <w:szCs w:val="20"/>
              </w:rPr>
            </w:pPr>
            <w:r w:rsidRPr="0033042C">
              <w:rPr>
                <w:rFonts w:ascii="Arial" w:hAnsi="Arial" w:cs="Arial"/>
                <w:b/>
                <w:bCs/>
                <w:sz w:val="20"/>
                <w:szCs w:val="20"/>
              </w:rPr>
              <w:t>Category</w:t>
            </w:r>
          </w:p>
        </w:tc>
        <w:tc>
          <w:tcPr>
            <w:tcW w:w="1753" w:type="dxa"/>
            <w:shd w:val="clear" w:color="auto" w:fill="D9D9D9" w:themeFill="background1" w:themeFillShade="D9"/>
            <w:vAlign w:val="center"/>
          </w:tcPr>
          <w:p w14:paraId="78AEDC67" w14:textId="670B7DF7" w:rsidR="000D772C" w:rsidRPr="0033042C" w:rsidRDefault="000D772C" w:rsidP="001D31E6">
            <w:pPr>
              <w:jc w:val="center"/>
              <w:rPr>
                <w:rFonts w:ascii="Arial" w:hAnsi="Arial" w:cs="Arial"/>
                <w:b/>
                <w:bCs/>
                <w:sz w:val="20"/>
                <w:szCs w:val="20"/>
              </w:rPr>
            </w:pPr>
            <w:r w:rsidRPr="0033042C">
              <w:rPr>
                <w:rFonts w:ascii="Arial" w:hAnsi="Arial" w:cs="Arial"/>
                <w:b/>
                <w:bCs/>
                <w:sz w:val="20"/>
                <w:szCs w:val="20"/>
              </w:rPr>
              <w:t xml:space="preserve">Highest </w:t>
            </w:r>
            <w:r w:rsidR="000E218E" w:rsidRPr="0033042C">
              <w:rPr>
                <w:rFonts w:ascii="Arial" w:hAnsi="Arial" w:cs="Arial"/>
                <w:b/>
                <w:bCs/>
                <w:sz w:val="20"/>
                <w:szCs w:val="20"/>
              </w:rPr>
              <w:t xml:space="preserve">Responsive Proposal </w:t>
            </w:r>
            <w:r w:rsidRPr="0033042C">
              <w:rPr>
                <w:rFonts w:ascii="Arial" w:hAnsi="Arial" w:cs="Arial"/>
                <w:b/>
                <w:bCs/>
                <w:sz w:val="20"/>
                <w:szCs w:val="20"/>
              </w:rPr>
              <w:t>Percentage Discount</w:t>
            </w:r>
          </w:p>
        </w:tc>
        <w:tc>
          <w:tcPr>
            <w:tcW w:w="1754" w:type="dxa"/>
            <w:shd w:val="clear" w:color="auto" w:fill="D9D9D9" w:themeFill="background1" w:themeFillShade="D9"/>
            <w:vAlign w:val="center"/>
          </w:tcPr>
          <w:p w14:paraId="674A4391" w14:textId="3F759E32" w:rsidR="000D772C" w:rsidRPr="0033042C" w:rsidRDefault="00634AA6" w:rsidP="001D31E6">
            <w:pPr>
              <w:jc w:val="center"/>
              <w:rPr>
                <w:rFonts w:ascii="Arial" w:hAnsi="Arial" w:cs="Arial"/>
                <w:b/>
                <w:bCs/>
                <w:sz w:val="20"/>
                <w:szCs w:val="20"/>
              </w:rPr>
            </w:pPr>
            <w:r w:rsidRPr="0033042C">
              <w:rPr>
                <w:rFonts w:ascii="Arial" w:hAnsi="Arial" w:cs="Arial"/>
                <w:b/>
                <w:bCs/>
                <w:sz w:val="20"/>
                <w:szCs w:val="20"/>
              </w:rPr>
              <w:t>Offeror’s Proposed Percentage Discount</w:t>
            </w:r>
          </w:p>
        </w:tc>
        <w:tc>
          <w:tcPr>
            <w:tcW w:w="1754" w:type="dxa"/>
            <w:shd w:val="clear" w:color="auto" w:fill="D9D9D9" w:themeFill="background1" w:themeFillShade="D9"/>
            <w:vAlign w:val="center"/>
          </w:tcPr>
          <w:p w14:paraId="270EFE19" w14:textId="77777777" w:rsidR="000D772C" w:rsidRPr="0033042C" w:rsidRDefault="000D772C" w:rsidP="001D31E6">
            <w:pPr>
              <w:jc w:val="center"/>
              <w:rPr>
                <w:rFonts w:ascii="Arial" w:hAnsi="Arial" w:cs="Arial"/>
                <w:b/>
                <w:bCs/>
                <w:sz w:val="20"/>
                <w:szCs w:val="20"/>
              </w:rPr>
            </w:pPr>
            <w:r w:rsidRPr="0033042C">
              <w:rPr>
                <w:rFonts w:ascii="Arial" w:hAnsi="Arial" w:cs="Arial"/>
                <w:b/>
                <w:bCs/>
                <w:sz w:val="20"/>
                <w:szCs w:val="20"/>
              </w:rPr>
              <w:t>Cost Points Possible</w:t>
            </w:r>
          </w:p>
        </w:tc>
        <w:tc>
          <w:tcPr>
            <w:tcW w:w="1754" w:type="dxa"/>
            <w:shd w:val="clear" w:color="auto" w:fill="D9D9D9" w:themeFill="background1" w:themeFillShade="D9"/>
            <w:vAlign w:val="center"/>
          </w:tcPr>
          <w:p w14:paraId="0536D88E" w14:textId="77777777" w:rsidR="000D772C" w:rsidRPr="0033042C" w:rsidRDefault="000D772C" w:rsidP="001D31E6">
            <w:pPr>
              <w:jc w:val="center"/>
              <w:rPr>
                <w:rFonts w:ascii="Arial" w:hAnsi="Arial" w:cs="Arial"/>
                <w:b/>
                <w:bCs/>
                <w:sz w:val="20"/>
                <w:szCs w:val="20"/>
              </w:rPr>
            </w:pPr>
            <w:r w:rsidRPr="0033042C">
              <w:rPr>
                <w:rFonts w:ascii="Arial" w:hAnsi="Arial" w:cs="Arial"/>
                <w:b/>
                <w:bCs/>
                <w:sz w:val="20"/>
                <w:szCs w:val="20"/>
              </w:rPr>
              <w:t>Offeror’s Cost Points Earned</w:t>
            </w:r>
          </w:p>
        </w:tc>
      </w:tr>
      <w:tr w:rsidR="000E218E" w:rsidRPr="0033042C" w14:paraId="0F79589A" w14:textId="77777777" w:rsidTr="00AC6484">
        <w:trPr>
          <w:trHeight w:val="296"/>
        </w:trPr>
        <w:tc>
          <w:tcPr>
            <w:tcW w:w="3055" w:type="dxa"/>
            <w:vAlign w:val="center"/>
          </w:tcPr>
          <w:p w14:paraId="4130A777" w14:textId="6D5C6BEE" w:rsidR="000D772C" w:rsidRPr="0033042C" w:rsidRDefault="000D772C" w:rsidP="001D31E6">
            <w:pPr>
              <w:rPr>
                <w:rFonts w:ascii="Arial" w:hAnsi="Arial" w:cs="Arial"/>
                <w:sz w:val="20"/>
                <w:szCs w:val="20"/>
              </w:rPr>
            </w:pPr>
            <w:r w:rsidRPr="0033042C">
              <w:rPr>
                <w:rFonts w:ascii="Arial" w:hAnsi="Arial" w:cs="Arial"/>
                <w:sz w:val="20"/>
                <w:szCs w:val="20"/>
              </w:rPr>
              <w:t>ASTM</w:t>
            </w:r>
            <w:r w:rsidR="00C01B42">
              <w:rPr>
                <w:rFonts w:ascii="Arial" w:hAnsi="Arial" w:cs="Arial"/>
                <w:sz w:val="20"/>
                <w:szCs w:val="20"/>
              </w:rPr>
              <w:t xml:space="preserve"> Helmets &amp; Shields</w:t>
            </w:r>
            <w:r w:rsidRPr="0033042C">
              <w:rPr>
                <w:rFonts w:ascii="Arial" w:hAnsi="Arial" w:cs="Arial"/>
                <w:sz w:val="20"/>
                <w:szCs w:val="20"/>
              </w:rPr>
              <w:t xml:space="preserve"> (category discount)</w:t>
            </w:r>
          </w:p>
        </w:tc>
        <w:tc>
          <w:tcPr>
            <w:tcW w:w="1753" w:type="dxa"/>
            <w:vAlign w:val="center"/>
          </w:tcPr>
          <w:p w14:paraId="029554FA" w14:textId="364A3A42" w:rsidR="000D772C" w:rsidRPr="0033042C" w:rsidRDefault="0033042C" w:rsidP="001D31E6">
            <w:pPr>
              <w:jc w:val="center"/>
              <w:rPr>
                <w:rFonts w:ascii="Arial" w:hAnsi="Arial" w:cs="Arial"/>
                <w:sz w:val="20"/>
                <w:szCs w:val="20"/>
              </w:rPr>
            </w:pPr>
            <w:r w:rsidRPr="0033042C">
              <w:rPr>
                <w:rFonts w:ascii="Arial" w:hAnsi="Arial" w:cs="Arial"/>
                <w:sz w:val="20"/>
                <w:szCs w:val="20"/>
              </w:rPr>
              <w:t>%</w:t>
            </w:r>
          </w:p>
        </w:tc>
        <w:tc>
          <w:tcPr>
            <w:tcW w:w="1754" w:type="dxa"/>
            <w:vAlign w:val="center"/>
          </w:tcPr>
          <w:p w14:paraId="35E9BF02" w14:textId="055CD930" w:rsidR="000D772C" w:rsidRPr="0033042C" w:rsidRDefault="0033042C" w:rsidP="001D31E6">
            <w:pPr>
              <w:jc w:val="center"/>
              <w:rPr>
                <w:rFonts w:ascii="Arial" w:hAnsi="Arial" w:cs="Arial"/>
                <w:sz w:val="20"/>
                <w:szCs w:val="20"/>
              </w:rPr>
            </w:pPr>
            <w:r w:rsidRPr="0033042C">
              <w:rPr>
                <w:rFonts w:ascii="Arial" w:hAnsi="Arial" w:cs="Arial"/>
                <w:sz w:val="20"/>
                <w:szCs w:val="20"/>
              </w:rPr>
              <w:t>%</w:t>
            </w:r>
          </w:p>
        </w:tc>
        <w:tc>
          <w:tcPr>
            <w:tcW w:w="1754" w:type="dxa"/>
            <w:vAlign w:val="center"/>
          </w:tcPr>
          <w:p w14:paraId="63516E71" w14:textId="6F3D61DE" w:rsidR="000D772C" w:rsidRPr="0033042C" w:rsidRDefault="00B25AAB" w:rsidP="001D31E6">
            <w:pPr>
              <w:jc w:val="center"/>
              <w:rPr>
                <w:rFonts w:ascii="Arial" w:hAnsi="Arial" w:cs="Arial"/>
                <w:sz w:val="20"/>
                <w:szCs w:val="20"/>
              </w:rPr>
            </w:pPr>
            <w:r w:rsidRPr="0033042C">
              <w:rPr>
                <w:rFonts w:ascii="Arial" w:hAnsi="Arial" w:cs="Arial"/>
                <w:sz w:val="20"/>
                <w:szCs w:val="20"/>
              </w:rPr>
              <w:t>125</w:t>
            </w:r>
          </w:p>
        </w:tc>
        <w:tc>
          <w:tcPr>
            <w:tcW w:w="1754" w:type="dxa"/>
            <w:vAlign w:val="center"/>
          </w:tcPr>
          <w:p w14:paraId="4606D72B" w14:textId="77777777" w:rsidR="000D772C" w:rsidRPr="0033042C" w:rsidRDefault="000D772C" w:rsidP="001D31E6">
            <w:pPr>
              <w:jc w:val="center"/>
              <w:rPr>
                <w:rFonts w:ascii="Arial" w:hAnsi="Arial" w:cs="Arial"/>
                <w:sz w:val="20"/>
                <w:szCs w:val="20"/>
              </w:rPr>
            </w:pPr>
          </w:p>
        </w:tc>
      </w:tr>
      <w:tr w:rsidR="000E218E" w:rsidRPr="0033042C" w14:paraId="233D0D32" w14:textId="77777777" w:rsidTr="0033042C">
        <w:tc>
          <w:tcPr>
            <w:tcW w:w="3055" w:type="dxa"/>
            <w:vAlign w:val="center"/>
          </w:tcPr>
          <w:p w14:paraId="3D48C677" w14:textId="1EF364F0" w:rsidR="000D772C" w:rsidRPr="0033042C" w:rsidRDefault="000D772C" w:rsidP="001D31E6">
            <w:pPr>
              <w:rPr>
                <w:rFonts w:ascii="Arial" w:hAnsi="Arial" w:cs="Arial"/>
                <w:sz w:val="20"/>
                <w:szCs w:val="20"/>
              </w:rPr>
            </w:pPr>
            <w:r w:rsidRPr="0033042C">
              <w:rPr>
                <w:rFonts w:ascii="Arial" w:hAnsi="Arial" w:cs="Arial"/>
                <w:sz w:val="20"/>
                <w:szCs w:val="20"/>
              </w:rPr>
              <w:t>Non-Market Basket</w:t>
            </w:r>
            <w:r w:rsidR="004026BA" w:rsidRPr="0033042C">
              <w:rPr>
                <w:rFonts w:ascii="Arial" w:hAnsi="Arial" w:cs="Arial"/>
                <w:sz w:val="20"/>
                <w:szCs w:val="20"/>
              </w:rPr>
              <w:t xml:space="preserve"> Helmets &amp; Shields</w:t>
            </w:r>
            <w:r w:rsidRPr="0033042C">
              <w:rPr>
                <w:rFonts w:ascii="Arial" w:hAnsi="Arial" w:cs="Arial"/>
                <w:sz w:val="20"/>
                <w:szCs w:val="20"/>
              </w:rPr>
              <w:t xml:space="preserve"> (average discount for category)</w:t>
            </w:r>
          </w:p>
        </w:tc>
        <w:tc>
          <w:tcPr>
            <w:tcW w:w="1753" w:type="dxa"/>
            <w:vAlign w:val="center"/>
          </w:tcPr>
          <w:p w14:paraId="2BF297C0" w14:textId="503F9B5D" w:rsidR="000D772C" w:rsidRPr="0033042C" w:rsidRDefault="0033042C" w:rsidP="001D31E6">
            <w:pPr>
              <w:jc w:val="center"/>
              <w:rPr>
                <w:rFonts w:ascii="Arial" w:hAnsi="Arial" w:cs="Arial"/>
                <w:sz w:val="20"/>
                <w:szCs w:val="20"/>
              </w:rPr>
            </w:pPr>
            <w:r w:rsidRPr="0033042C">
              <w:rPr>
                <w:rFonts w:ascii="Arial" w:hAnsi="Arial" w:cs="Arial"/>
                <w:sz w:val="20"/>
                <w:szCs w:val="20"/>
              </w:rPr>
              <w:t>%</w:t>
            </w:r>
          </w:p>
        </w:tc>
        <w:tc>
          <w:tcPr>
            <w:tcW w:w="1754" w:type="dxa"/>
            <w:vAlign w:val="center"/>
          </w:tcPr>
          <w:p w14:paraId="14B47665" w14:textId="0F264EA1" w:rsidR="000D772C" w:rsidRPr="0033042C" w:rsidRDefault="0033042C" w:rsidP="001D31E6">
            <w:pPr>
              <w:jc w:val="center"/>
              <w:rPr>
                <w:rFonts w:ascii="Arial" w:hAnsi="Arial" w:cs="Arial"/>
                <w:sz w:val="20"/>
                <w:szCs w:val="20"/>
              </w:rPr>
            </w:pPr>
            <w:r w:rsidRPr="0033042C">
              <w:rPr>
                <w:rFonts w:ascii="Arial" w:hAnsi="Arial" w:cs="Arial"/>
                <w:sz w:val="20"/>
                <w:szCs w:val="20"/>
              </w:rPr>
              <w:t>%</w:t>
            </w:r>
          </w:p>
        </w:tc>
        <w:tc>
          <w:tcPr>
            <w:tcW w:w="1754" w:type="dxa"/>
            <w:vAlign w:val="center"/>
          </w:tcPr>
          <w:p w14:paraId="6A2ECBC4" w14:textId="3A64A430" w:rsidR="000D772C" w:rsidRPr="0033042C" w:rsidRDefault="00B25AAB" w:rsidP="001D31E6">
            <w:pPr>
              <w:jc w:val="center"/>
              <w:rPr>
                <w:rFonts w:ascii="Arial" w:hAnsi="Arial" w:cs="Arial"/>
                <w:sz w:val="20"/>
                <w:szCs w:val="20"/>
              </w:rPr>
            </w:pPr>
            <w:r w:rsidRPr="0033042C">
              <w:rPr>
                <w:rFonts w:ascii="Arial" w:hAnsi="Arial" w:cs="Arial"/>
                <w:sz w:val="20"/>
                <w:szCs w:val="20"/>
              </w:rPr>
              <w:t>125</w:t>
            </w:r>
          </w:p>
        </w:tc>
        <w:tc>
          <w:tcPr>
            <w:tcW w:w="1754" w:type="dxa"/>
            <w:vAlign w:val="center"/>
          </w:tcPr>
          <w:p w14:paraId="204C1E8F" w14:textId="77777777" w:rsidR="000D772C" w:rsidRPr="0033042C" w:rsidRDefault="000D772C" w:rsidP="001D31E6">
            <w:pPr>
              <w:jc w:val="center"/>
              <w:rPr>
                <w:rFonts w:ascii="Arial" w:hAnsi="Arial" w:cs="Arial"/>
                <w:sz w:val="20"/>
                <w:szCs w:val="20"/>
              </w:rPr>
            </w:pPr>
          </w:p>
        </w:tc>
      </w:tr>
      <w:tr w:rsidR="000E218E" w14:paraId="764E7DED" w14:textId="77777777" w:rsidTr="0033042C">
        <w:tc>
          <w:tcPr>
            <w:tcW w:w="3055" w:type="dxa"/>
            <w:tcBorders>
              <w:left w:val="nil"/>
              <w:bottom w:val="nil"/>
              <w:right w:val="nil"/>
            </w:tcBorders>
            <w:vAlign w:val="center"/>
          </w:tcPr>
          <w:p w14:paraId="7830084F" w14:textId="77777777" w:rsidR="000D772C" w:rsidRPr="0033042C" w:rsidRDefault="000D772C" w:rsidP="001D31E6">
            <w:pPr>
              <w:rPr>
                <w:rFonts w:ascii="Arial" w:hAnsi="Arial" w:cs="Arial"/>
                <w:sz w:val="20"/>
                <w:szCs w:val="20"/>
              </w:rPr>
            </w:pPr>
          </w:p>
        </w:tc>
        <w:tc>
          <w:tcPr>
            <w:tcW w:w="1753" w:type="dxa"/>
            <w:tcBorders>
              <w:left w:val="nil"/>
              <w:bottom w:val="nil"/>
              <w:right w:val="nil"/>
            </w:tcBorders>
            <w:vAlign w:val="center"/>
          </w:tcPr>
          <w:p w14:paraId="65BBB409" w14:textId="77777777" w:rsidR="000D772C" w:rsidRPr="0033042C" w:rsidRDefault="000D772C" w:rsidP="001D31E6">
            <w:pPr>
              <w:jc w:val="center"/>
              <w:rPr>
                <w:rFonts w:ascii="Arial" w:hAnsi="Arial" w:cs="Arial"/>
                <w:sz w:val="20"/>
                <w:szCs w:val="20"/>
              </w:rPr>
            </w:pPr>
          </w:p>
        </w:tc>
        <w:tc>
          <w:tcPr>
            <w:tcW w:w="1754" w:type="dxa"/>
            <w:tcBorders>
              <w:left w:val="nil"/>
              <w:bottom w:val="nil"/>
            </w:tcBorders>
            <w:vAlign w:val="center"/>
          </w:tcPr>
          <w:p w14:paraId="6CF6A87D" w14:textId="77777777" w:rsidR="000D772C" w:rsidRPr="0033042C" w:rsidRDefault="000D772C" w:rsidP="001D31E6">
            <w:pPr>
              <w:jc w:val="right"/>
              <w:rPr>
                <w:rFonts w:ascii="Arial" w:hAnsi="Arial" w:cs="Arial"/>
                <w:b/>
                <w:bCs/>
                <w:sz w:val="20"/>
                <w:szCs w:val="20"/>
              </w:rPr>
            </w:pPr>
            <w:r w:rsidRPr="0033042C">
              <w:rPr>
                <w:rFonts w:ascii="Arial" w:hAnsi="Arial" w:cs="Arial"/>
                <w:b/>
                <w:bCs/>
                <w:sz w:val="20"/>
                <w:szCs w:val="20"/>
              </w:rPr>
              <w:t>Total:</w:t>
            </w:r>
          </w:p>
        </w:tc>
        <w:tc>
          <w:tcPr>
            <w:tcW w:w="1754" w:type="dxa"/>
            <w:vAlign w:val="center"/>
          </w:tcPr>
          <w:p w14:paraId="4DAAC0D7" w14:textId="77777777" w:rsidR="000D772C" w:rsidRPr="007751C3" w:rsidRDefault="000D772C" w:rsidP="001D31E6">
            <w:pPr>
              <w:jc w:val="center"/>
              <w:rPr>
                <w:rFonts w:ascii="Arial" w:hAnsi="Arial" w:cs="Arial"/>
                <w:b/>
                <w:bCs/>
                <w:sz w:val="20"/>
                <w:szCs w:val="20"/>
              </w:rPr>
            </w:pPr>
            <w:r w:rsidRPr="0033042C">
              <w:rPr>
                <w:rFonts w:ascii="Arial" w:hAnsi="Arial" w:cs="Arial"/>
                <w:b/>
                <w:bCs/>
                <w:sz w:val="20"/>
                <w:szCs w:val="20"/>
              </w:rPr>
              <w:t>250</w:t>
            </w:r>
          </w:p>
        </w:tc>
        <w:tc>
          <w:tcPr>
            <w:tcW w:w="1754" w:type="dxa"/>
            <w:vAlign w:val="center"/>
          </w:tcPr>
          <w:p w14:paraId="2AB4D4A5" w14:textId="77777777" w:rsidR="000D772C" w:rsidRDefault="000D772C" w:rsidP="001D31E6">
            <w:pPr>
              <w:jc w:val="center"/>
              <w:rPr>
                <w:rFonts w:ascii="Arial" w:hAnsi="Arial" w:cs="Arial"/>
                <w:sz w:val="20"/>
                <w:szCs w:val="20"/>
              </w:rPr>
            </w:pPr>
          </w:p>
        </w:tc>
      </w:tr>
    </w:tbl>
    <w:p w14:paraId="0511C874" w14:textId="77777777" w:rsidR="000D772C" w:rsidRDefault="000D772C" w:rsidP="002444F9">
      <w:pPr>
        <w:spacing w:after="0"/>
        <w:rPr>
          <w:rFonts w:ascii="Arial" w:hAnsi="Arial" w:cs="Arial"/>
          <w:sz w:val="20"/>
          <w:szCs w:val="20"/>
        </w:rPr>
      </w:pPr>
    </w:p>
    <w:p w14:paraId="0A2EF374" w14:textId="77777777" w:rsidR="00851BD3" w:rsidRDefault="00851BD3" w:rsidP="002444F9">
      <w:pPr>
        <w:spacing w:after="0"/>
        <w:rPr>
          <w:rFonts w:ascii="Arial" w:hAnsi="Arial" w:cs="Arial"/>
          <w:sz w:val="20"/>
          <w:szCs w:val="20"/>
        </w:rPr>
      </w:pPr>
    </w:p>
    <w:p w14:paraId="61852A4B" w14:textId="77777777" w:rsidR="00851BD3" w:rsidRDefault="00851BD3" w:rsidP="002444F9">
      <w:pPr>
        <w:spacing w:after="0"/>
        <w:rPr>
          <w:rFonts w:ascii="Arial" w:hAnsi="Arial" w:cs="Arial"/>
          <w:sz w:val="20"/>
          <w:szCs w:val="20"/>
        </w:rPr>
      </w:pPr>
    </w:p>
    <w:p w14:paraId="3FC45BE7" w14:textId="77777777" w:rsidR="00851BD3" w:rsidRDefault="00851BD3" w:rsidP="002444F9">
      <w:pPr>
        <w:spacing w:after="0"/>
        <w:rPr>
          <w:rFonts w:ascii="Arial" w:hAnsi="Arial" w:cs="Arial"/>
          <w:sz w:val="20"/>
          <w:szCs w:val="20"/>
        </w:rPr>
      </w:pPr>
    </w:p>
    <w:p w14:paraId="74E54CB7" w14:textId="77777777" w:rsidR="00851BD3" w:rsidRDefault="00851BD3" w:rsidP="002444F9">
      <w:pPr>
        <w:spacing w:after="0"/>
        <w:rPr>
          <w:rFonts w:ascii="Arial" w:hAnsi="Arial" w:cs="Arial"/>
          <w:sz w:val="20"/>
          <w:szCs w:val="20"/>
        </w:rPr>
      </w:pPr>
    </w:p>
    <w:tbl>
      <w:tblPr>
        <w:tblStyle w:val="TableGrid"/>
        <w:tblW w:w="0" w:type="auto"/>
        <w:tblLook w:val="04A0" w:firstRow="1" w:lastRow="0" w:firstColumn="1" w:lastColumn="0" w:noHBand="0" w:noVBand="1"/>
      </w:tblPr>
      <w:tblGrid>
        <w:gridCol w:w="3055"/>
        <w:gridCol w:w="1753"/>
        <w:gridCol w:w="1754"/>
        <w:gridCol w:w="1754"/>
        <w:gridCol w:w="1754"/>
      </w:tblGrid>
      <w:tr w:rsidR="0037088B" w:rsidRPr="00AC6484" w14:paraId="1DC7C69F" w14:textId="77777777" w:rsidTr="00AC6484">
        <w:tc>
          <w:tcPr>
            <w:tcW w:w="3055" w:type="dxa"/>
            <w:shd w:val="clear" w:color="auto" w:fill="D9D9D9" w:themeFill="background1" w:themeFillShade="D9"/>
            <w:vAlign w:val="center"/>
          </w:tcPr>
          <w:p w14:paraId="4628490A" w14:textId="77777777" w:rsidR="0037088B" w:rsidRPr="00AC6484" w:rsidRDefault="0037088B" w:rsidP="007575B1">
            <w:pPr>
              <w:jc w:val="center"/>
              <w:rPr>
                <w:rFonts w:ascii="Arial" w:hAnsi="Arial" w:cs="Arial"/>
                <w:b/>
                <w:bCs/>
                <w:sz w:val="20"/>
                <w:szCs w:val="20"/>
              </w:rPr>
            </w:pPr>
            <w:r w:rsidRPr="00AC6484">
              <w:rPr>
                <w:rFonts w:ascii="Arial" w:hAnsi="Arial" w:cs="Arial"/>
                <w:b/>
                <w:bCs/>
                <w:sz w:val="20"/>
                <w:szCs w:val="20"/>
              </w:rPr>
              <w:lastRenderedPageBreak/>
              <w:t>Category</w:t>
            </w:r>
          </w:p>
        </w:tc>
        <w:tc>
          <w:tcPr>
            <w:tcW w:w="1753" w:type="dxa"/>
            <w:shd w:val="clear" w:color="auto" w:fill="D9D9D9" w:themeFill="background1" w:themeFillShade="D9"/>
            <w:vAlign w:val="center"/>
          </w:tcPr>
          <w:p w14:paraId="1286D4F6" w14:textId="4D8D09B2" w:rsidR="0037088B" w:rsidRPr="00AC6484" w:rsidRDefault="005F2992" w:rsidP="007575B1">
            <w:pPr>
              <w:jc w:val="center"/>
              <w:rPr>
                <w:rFonts w:ascii="Arial" w:hAnsi="Arial" w:cs="Arial"/>
                <w:b/>
                <w:bCs/>
                <w:sz w:val="20"/>
                <w:szCs w:val="20"/>
              </w:rPr>
            </w:pPr>
            <w:r w:rsidRPr="00AC6484">
              <w:rPr>
                <w:rFonts w:ascii="Arial" w:hAnsi="Arial" w:cs="Arial"/>
                <w:b/>
                <w:bCs/>
                <w:sz w:val="20"/>
                <w:szCs w:val="20"/>
              </w:rPr>
              <w:t>Highest Responsive Proposal Percentage Discount</w:t>
            </w:r>
          </w:p>
        </w:tc>
        <w:tc>
          <w:tcPr>
            <w:tcW w:w="1754" w:type="dxa"/>
            <w:shd w:val="clear" w:color="auto" w:fill="D9D9D9" w:themeFill="background1" w:themeFillShade="D9"/>
            <w:vAlign w:val="center"/>
          </w:tcPr>
          <w:p w14:paraId="59A48A0D" w14:textId="01719EB0" w:rsidR="0037088B" w:rsidRPr="00AC6484" w:rsidRDefault="00634AA6" w:rsidP="007575B1">
            <w:pPr>
              <w:jc w:val="center"/>
              <w:rPr>
                <w:rFonts w:ascii="Arial" w:hAnsi="Arial" w:cs="Arial"/>
                <w:b/>
                <w:bCs/>
                <w:sz w:val="20"/>
                <w:szCs w:val="20"/>
              </w:rPr>
            </w:pPr>
            <w:r w:rsidRPr="00AC6484">
              <w:rPr>
                <w:rFonts w:ascii="Arial" w:hAnsi="Arial" w:cs="Arial"/>
                <w:b/>
                <w:bCs/>
                <w:sz w:val="20"/>
                <w:szCs w:val="20"/>
              </w:rPr>
              <w:t>Offeror’s Proposed Percentage Discount</w:t>
            </w:r>
          </w:p>
        </w:tc>
        <w:tc>
          <w:tcPr>
            <w:tcW w:w="1754" w:type="dxa"/>
            <w:shd w:val="clear" w:color="auto" w:fill="D9D9D9" w:themeFill="background1" w:themeFillShade="D9"/>
            <w:vAlign w:val="center"/>
          </w:tcPr>
          <w:p w14:paraId="185106C4" w14:textId="77777777" w:rsidR="0037088B" w:rsidRPr="00AC6484" w:rsidRDefault="0037088B" w:rsidP="007575B1">
            <w:pPr>
              <w:jc w:val="center"/>
              <w:rPr>
                <w:rFonts w:ascii="Arial" w:hAnsi="Arial" w:cs="Arial"/>
                <w:b/>
                <w:bCs/>
                <w:sz w:val="20"/>
                <w:szCs w:val="20"/>
              </w:rPr>
            </w:pPr>
            <w:r w:rsidRPr="00AC6484">
              <w:rPr>
                <w:rFonts w:ascii="Arial" w:hAnsi="Arial" w:cs="Arial"/>
                <w:b/>
                <w:bCs/>
                <w:sz w:val="20"/>
                <w:szCs w:val="20"/>
              </w:rPr>
              <w:t>Cost Points Possible</w:t>
            </w:r>
          </w:p>
        </w:tc>
        <w:tc>
          <w:tcPr>
            <w:tcW w:w="1754" w:type="dxa"/>
            <w:shd w:val="clear" w:color="auto" w:fill="D9D9D9" w:themeFill="background1" w:themeFillShade="D9"/>
            <w:vAlign w:val="center"/>
          </w:tcPr>
          <w:p w14:paraId="777D5236" w14:textId="77777777" w:rsidR="0037088B" w:rsidRPr="00AC6484" w:rsidRDefault="0037088B" w:rsidP="007575B1">
            <w:pPr>
              <w:jc w:val="center"/>
              <w:rPr>
                <w:rFonts w:ascii="Arial" w:hAnsi="Arial" w:cs="Arial"/>
                <w:b/>
                <w:bCs/>
                <w:sz w:val="20"/>
                <w:szCs w:val="20"/>
              </w:rPr>
            </w:pPr>
            <w:r w:rsidRPr="00AC6484">
              <w:rPr>
                <w:rFonts w:ascii="Arial" w:hAnsi="Arial" w:cs="Arial"/>
                <w:b/>
                <w:bCs/>
                <w:sz w:val="20"/>
                <w:szCs w:val="20"/>
              </w:rPr>
              <w:t>Offeror’s Cost Points Earned</w:t>
            </w:r>
          </w:p>
        </w:tc>
      </w:tr>
      <w:tr w:rsidR="0037088B" w:rsidRPr="00AC6484" w14:paraId="2B3B5474" w14:textId="77777777" w:rsidTr="00AC6484">
        <w:tc>
          <w:tcPr>
            <w:tcW w:w="3055" w:type="dxa"/>
            <w:vAlign w:val="center"/>
          </w:tcPr>
          <w:p w14:paraId="3897E26A" w14:textId="0862224A" w:rsidR="0037088B" w:rsidRPr="00AC6484" w:rsidRDefault="0037088B" w:rsidP="007575B1">
            <w:pPr>
              <w:rPr>
                <w:rFonts w:ascii="Arial" w:hAnsi="Arial" w:cs="Arial"/>
                <w:sz w:val="20"/>
                <w:szCs w:val="20"/>
              </w:rPr>
            </w:pPr>
            <w:r w:rsidRPr="00AC6484">
              <w:rPr>
                <w:rFonts w:ascii="Arial" w:hAnsi="Arial" w:cs="Arial"/>
                <w:sz w:val="20"/>
                <w:szCs w:val="20"/>
              </w:rPr>
              <w:t>Non-Market Basket</w:t>
            </w:r>
            <w:r w:rsidR="004026BA" w:rsidRPr="00AC6484">
              <w:rPr>
                <w:rFonts w:ascii="Arial" w:hAnsi="Arial" w:cs="Arial"/>
                <w:sz w:val="20"/>
                <w:szCs w:val="20"/>
              </w:rPr>
              <w:t xml:space="preserve"> (not including Helmets &amp; Shields)</w:t>
            </w:r>
            <w:r w:rsidRPr="00AC6484">
              <w:rPr>
                <w:rFonts w:ascii="Arial" w:hAnsi="Arial" w:cs="Arial"/>
                <w:sz w:val="20"/>
                <w:szCs w:val="20"/>
              </w:rPr>
              <w:t xml:space="preserve"> (average discount for category)</w:t>
            </w:r>
          </w:p>
        </w:tc>
        <w:tc>
          <w:tcPr>
            <w:tcW w:w="1753" w:type="dxa"/>
            <w:vAlign w:val="center"/>
          </w:tcPr>
          <w:p w14:paraId="35D5C723" w14:textId="0B463618" w:rsidR="0037088B" w:rsidRPr="00AC6484" w:rsidRDefault="0033042C" w:rsidP="007575B1">
            <w:pPr>
              <w:jc w:val="center"/>
              <w:rPr>
                <w:rFonts w:ascii="Arial" w:hAnsi="Arial" w:cs="Arial"/>
                <w:sz w:val="20"/>
                <w:szCs w:val="20"/>
              </w:rPr>
            </w:pPr>
            <w:r w:rsidRPr="00AC6484">
              <w:rPr>
                <w:rFonts w:ascii="Arial" w:hAnsi="Arial" w:cs="Arial"/>
                <w:sz w:val="20"/>
                <w:szCs w:val="20"/>
              </w:rPr>
              <w:t>%</w:t>
            </w:r>
          </w:p>
        </w:tc>
        <w:tc>
          <w:tcPr>
            <w:tcW w:w="1754" w:type="dxa"/>
            <w:vAlign w:val="center"/>
          </w:tcPr>
          <w:p w14:paraId="65456041" w14:textId="52FBEC38" w:rsidR="0037088B" w:rsidRPr="00AC6484" w:rsidRDefault="0033042C" w:rsidP="007575B1">
            <w:pPr>
              <w:jc w:val="center"/>
              <w:rPr>
                <w:rFonts w:ascii="Arial" w:hAnsi="Arial" w:cs="Arial"/>
                <w:sz w:val="20"/>
                <w:szCs w:val="20"/>
              </w:rPr>
            </w:pPr>
            <w:r w:rsidRPr="00AC6484">
              <w:rPr>
                <w:rFonts w:ascii="Arial" w:hAnsi="Arial" w:cs="Arial"/>
                <w:sz w:val="20"/>
                <w:szCs w:val="20"/>
              </w:rPr>
              <w:t>%</w:t>
            </w:r>
          </w:p>
        </w:tc>
        <w:tc>
          <w:tcPr>
            <w:tcW w:w="1754" w:type="dxa"/>
            <w:vAlign w:val="center"/>
          </w:tcPr>
          <w:p w14:paraId="318A95F3" w14:textId="5F605002" w:rsidR="0037088B" w:rsidRPr="00AC6484" w:rsidRDefault="00953003" w:rsidP="007575B1">
            <w:pPr>
              <w:jc w:val="center"/>
              <w:rPr>
                <w:rFonts w:ascii="Arial" w:hAnsi="Arial" w:cs="Arial"/>
                <w:sz w:val="20"/>
                <w:szCs w:val="20"/>
              </w:rPr>
            </w:pPr>
            <w:r w:rsidRPr="00AC6484">
              <w:rPr>
                <w:rFonts w:ascii="Arial" w:hAnsi="Arial" w:cs="Arial"/>
                <w:sz w:val="20"/>
                <w:szCs w:val="20"/>
              </w:rPr>
              <w:t>250</w:t>
            </w:r>
          </w:p>
        </w:tc>
        <w:tc>
          <w:tcPr>
            <w:tcW w:w="1754" w:type="dxa"/>
            <w:vAlign w:val="center"/>
          </w:tcPr>
          <w:p w14:paraId="2CA75A2E" w14:textId="77777777" w:rsidR="0037088B" w:rsidRPr="00AC6484" w:rsidRDefault="0037088B" w:rsidP="007575B1">
            <w:pPr>
              <w:jc w:val="center"/>
              <w:rPr>
                <w:rFonts w:ascii="Arial" w:hAnsi="Arial" w:cs="Arial"/>
                <w:sz w:val="20"/>
                <w:szCs w:val="20"/>
              </w:rPr>
            </w:pPr>
          </w:p>
        </w:tc>
      </w:tr>
      <w:tr w:rsidR="0037088B" w14:paraId="39EF1C18" w14:textId="77777777" w:rsidTr="00AC6484">
        <w:tc>
          <w:tcPr>
            <w:tcW w:w="3055" w:type="dxa"/>
            <w:tcBorders>
              <w:left w:val="nil"/>
              <w:bottom w:val="nil"/>
              <w:right w:val="nil"/>
            </w:tcBorders>
            <w:vAlign w:val="center"/>
          </w:tcPr>
          <w:p w14:paraId="1E23B365" w14:textId="77777777" w:rsidR="0037088B" w:rsidRPr="00AC6484" w:rsidRDefault="0037088B" w:rsidP="007575B1">
            <w:pPr>
              <w:rPr>
                <w:rFonts w:ascii="Arial" w:hAnsi="Arial" w:cs="Arial"/>
                <w:sz w:val="20"/>
                <w:szCs w:val="20"/>
              </w:rPr>
            </w:pPr>
          </w:p>
        </w:tc>
        <w:tc>
          <w:tcPr>
            <w:tcW w:w="1753" w:type="dxa"/>
            <w:tcBorders>
              <w:left w:val="nil"/>
              <w:bottom w:val="nil"/>
              <w:right w:val="nil"/>
            </w:tcBorders>
            <w:vAlign w:val="center"/>
          </w:tcPr>
          <w:p w14:paraId="5AA5E795" w14:textId="77777777" w:rsidR="0037088B" w:rsidRPr="00AC6484" w:rsidRDefault="0037088B" w:rsidP="007575B1">
            <w:pPr>
              <w:jc w:val="center"/>
              <w:rPr>
                <w:rFonts w:ascii="Arial" w:hAnsi="Arial" w:cs="Arial"/>
                <w:sz w:val="20"/>
                <w:szCs w:val="20"/>
              </w:rPr>
            </w:pPr>
          </w:p>
        </w:tc>
        <w:tc>
          <w:tcPr>
            <w:tcW w:w="1754" w:type="dxa"/>
            <w:tcBorders>
              <w:left w:val="nil"/>
              <w:bottom w:val="nil"/>
            </w:tcBorders>
            <w:vAlign w:val="center"/>
          </w:tcPr>
          <w:p w14:paraId="29B21A51" w14:textId="77777777" w:rsidR="0037088B" w:rsidRPr="00AC6484" w:rsidRDefault="0037088B" w:rsidP="007575B1">
            <w:pPr>
              <w:jc w:val="right"/>
              <w:rPr>
                <w:rFonts w:ascii="Arial" w:hAnsi="Arial" w:cs="Arial"/>
                <w:b/>
                <w:bCs/>
                <w:sz w:val="20"/>
                <w:szCs w:val="20"/>
              </w:rPr>
            </w:pPr>
            <w:r w:rsidRPr="00AC6484">
              <w:rPr>
                <w:rFonts w:ascii="Arial" w:hAnsi="Arial" w:cs="Arial"/>
                <w:b/>
                <w:bCs/>
                <w:sz w:val="20"/>
                <w:szCs w:val="20"/>
              </w:rPr>
              <w:t>Total:</w:t>
            </w:r>
          </w:p>
        </w:tc>
        <w:tc>
          <w:tcPr>
            <w:tcW w:w="1754" w:type="dxa"/>
            <w:vAlign w:val="center"/>
          </w:tcPr>
          <w:p w14:paraId="30A87170" w14:textId="77777777" w:rsidR="0037088B" w:rsidRPr="007751C3" w:rsidRDefault="0037088B" w:rsidP="007575B1">
            <w:pPr>
              <w:jc w:val="center"/>
              <w:rPr>
                <w:rFonts w:ascii="Arial" w:hAnsi="Arial" w:cs="Arial"/>
                <w:b/>
                <w:bCs/>
                <w:sz w:val="20"/>
                <w:szCs w:val="20"/>
              </w:rPr>
            </w:pPr>
            <w:r w:rsidRPr="00AC6484">
              <w:rPr>
                <w:rFonts w:ascii="Arial" w:hAnsi="Arial" w:cs="Arial"/>
                <w:b/>
                <w:bCs/>
                <w:sz w:val="20"/>
                <w:szCs w:val="20"/>
              </w:rPr>
              <w:t>250</w:t>
            </w:r>
          </w:p>
        </w:tc>
        <w:tc>
          <w:tcPr>
            <w:tcW w:w="1754" w:type="dxa"/>
            <w:vAlign w:val="center"/>
          </w:tcPr>
          <w:p w14:paraId="4914B1A0" w14:textId="77777777" w:rsidR="0037088B" w:rsidRDefault="0037088B" w:rsidP="007575B1">
            <w:pPr>
              <w:jc w:val="center"/>
              <w:rPr>
                <w:rFonts w:ascii="Arial" w:hAnsi="Arial" w:cs="Arial"/>
                <w:sz w:val="20"/>
                <w:szCs w:val="20"/>
              </w:rPr>
            </w:pPr>
          </w:p>
        </w:tc>
      </w:tr>
    </w:tbl>
    <w:p w14:paraId="3C208202" w14:textId="77777777" w:rsidR="0037088B" w:rsidRDefault="0037088B" w:rsidP="002444F9">
      <w:pPr>
        <w:spacing w:after="0"/>
        <w:rPr>
          <w:rFonts w:ascii="Arial" w:hAnsi="Arial" w:cs="Arial"/>
          <w:sz w:val="20"/>
          <w:szCs w:val="20"/>
        </w:rPr>
      </w:pPr>
    </w:p>
    <w:p w14:paraId="4FCF7A05" w14:textId="77777777" w:rsidR="001E265C" w:rsidRDefault="00D11F85" w:rsidP="007751C3">
      <w:pPr>
        <w:rPr>
          <w:rFonts w:ascii="Arial" w:hAnsi="Arial" w:cs="Arial"/>
          <w:sz w:val="20"/>
          <w:szCs w:val="20"/>
        </w:rPr>
      </w:pPr>
      <w:r>
        <w:rPr>
          <w:rFonts w:ascii="Arial" w:hAnsi="Arial" w:cs="Arial"/>
          <w:sz w:val="20"/>
          <w:szCs w:val="20"/>
        </w:rPr>
        <w:t xml:space="preserve">The formula for calculating cost points earned </w:t>
      </w:r>
      <w:r w:rsidR="00E734D0">
        <w:rPr>
          <w:rFonts w:ascii="Arial" w:hAnsi="Arial" w:cs="Arial"/>
          <w:sz w:val="20"/>
          <w:szCs w:val="20"/>
        </w:rPr>
        <w:t xml:space="preserve">for </w:t>
      </w:r>
      <w:r w:rsidR="00425D5E">
        <w:rPr>
          <w:rFonts w:ascii="Arial" w:hAnsi="Arial" w:cs="Arial"/>
          <w:sz w:val="20"/>
          <w:szCs w:val="20"/>
        </w:rPr>
        <w:t xml:space="preserve">MSRP/List Price </w:t>
      </w:r>
      <w:r w:rsidR="00E953E9">
        <w:rPr>
          <w:rFonts w:ascii="Arial" w:hAnsi="Arial" w:cs="Arial"/>
          <w:sz w:val="20"/>
          <w:szCs w:val="20"/>
        </w:rPr>
        <w:t>Percentage</w:t>
      </w:r>
      <w:r w:rsidR="00E734D0">
        <w:rPr>
          <w:rFonts w:ascii="Arial" w:hAnsi="Arial" w:cs="Arial"/>
          <w:sz w:val="20"/>
          <w:szCs w:val="20"/>
        </w:rPr>
        <w:t xml:space="preserve"> Discounts</w:t>
      </w:r>
      <w:r w:rsidR="000430B4">
        <w:rPr>
          <w:rFonts w:ascii="Arial" w:hAnsi="Arial" w:cs="Arial"/>
          <w:sz w:val="20"/>
          <w:szCs w:val="20"/>
        </w:rPr>
        <w:t xml:space="preserve"> for each category</w:t>
      </w:r>
      <w:r w:rsidR="00E734D0">
        <w:rPr>
          <w:rFonts w:ascii="Arial" w:hAnsi="Arial" w:cs="Arial"/>
          <w:sz w:val="20"/>
          <w:szCs w:val="20"/>
        </w:rPr>
        <w:t xml:space="preserve"> is</w:t>
      </w:r>
      <w:r w:rsidR="00C95A73">
        <w:rPr>
          <w:rFonts w:ascii="Arial" w:hAnsi="Arial" w:cs="Arial"/>
          <w:sz w:val="20"/>
          <w:szCs w:val="20"/>
        </w:rPr>
        <w:t>:</w:t>
      </w:r>
      <w:r w:rsidR="002444F9">
        <w:rPr>
          <w:rFonts w:ascii="Arial" w:hAnsi="Arial" w:cs="Arial"/>
          <w:sz w:val="20"/>
          <w:szCs w:val="20"/>
        </w:rPr>
        <w:t xml:space="preserve"> </w:t>
      </w:r>
    </w:p>
    <w:p w14:paraId="530163F7" w14:textId="749AF8C9" w:rsidR="001E265C" w:rsidRDefault="001E265C" w:rsidP="001E265C">
      <w:pPr>
        <w:spacing w:after="0"/>
        <w:ind w:left="720"/>
        <w:rPr>
          <w:rFonts w:ascii="Arial" w:hAnsi="Arial" w:cs="Arial"/>
          <w:sz w:val="20"/>
          <w:szCs w:val="20"/>
        </w:rPr>
      </w:pPr>
      <w:r>
        <w:rPr>
          <w:rFonts w:ascii="Arial" w:hAnsi="Arial" w:cs="Arial"/>
          <w:b/>
          <w:bCs/>
          <w:color w:val="315075"/>
          <w:sz w:val="20"/>
          <w:szCs w:val="20"/>
        </w:rPr>
        <w:t xml:space="preserve">      </w:t>
      </w:r>
      <w:r w:rsidR="00E734D0" w:rsidRPr="00815723">
        <w:rPr>
          <w:rFonts w:ascii="Arial" w:hAnsi="Arial" w:cs="Arial"/>
          <w:b/>
          <w:bCs/>
          <w:color w:val="315075"/>
          <w:sz w:val="20"/>
          <w:szCs w:val="20"/>
        </w:rPr>
        <w:t xml:space="preserve">Offeror’s </w:t>
      </w:r>
      <w:r w:rsidR="00634AA6">
        <w:rPr>
          <w:rFonts w:ascii="Arial" w:hAnsi="Arial" w:cs="Arial"/>
          <w:b/>
          <w:bCs/>
          <w:color w:val="315075"/>
          <w:sz w:val="20"/>
          <w:szCs w:val="20"/>
        </w:rPr>
        <w:t>Proposed</w:t>
      </w:r>
      <w:r w:rsidR="00EA6EB9">
        <w:rPr>
          <w:rFonts w:ascii="Arial" w:hAnsi="Arial" w:cs="Arial"/>
          <w:b/>
          <w:bCs/>
          <w:color w:val="315075"/>
          <w:sz w:val="20"/>
          <w:szCs w:val="20"/>
        </w:rPr>
        <w:t xml:space="preserve"> </w:t>
      </w:r>
      <w:r w:rsidR="00E953E9">
        <w:rPr>
          <w:rFonts w:ascii="Arial" w:hAnsi="Arial" w:cs="Arial"/>
          <w:b/>
          <w:bCs/>
          <w:color w:val="315075"/>
          <w:sz w:val="20"/>
          <w:szCs w:val="20"/>
        </w:rPr>
        <w:t>Percentage</w:t>
      </w:r>
      <w:r w:rsidR="00E953E9" w:rsidRPr="00815723">
        <w:rPr>
          <w:rFonts w:ascii="Arial" w:hAnsi="Arial" w:cs="Arial"/>
          <w:b/>
          <w:bCs/>
          <w:color w:val="315075"/>
          <w:sz w:val="20"/>
          <w:szCs w:val="20"/>
        </w:rPr>
        <w:t xml:space="preserve"> </w:t>
      </w:r>
      <w:r w:rsidR="00E734D0" w:rsidRPr="00815723">
        <w:rPr>
          <w:rFonts w:ascii="Arial" w:hAnsi="Arial" w:cs="Arial"/>
          <w:b/>
          <w:bCs/>
          <w:color w:val="315075"/>
          <w:sz w:val="20"/>
          <w:szCs w:val="20"/>
        </w:rPr>
        <w:t>Discount</w:t>
      </w:r>
    </w:p>
    <w:p w14:paraId="75BF6E3B" w14:textId="1325CE71" w:rsidR="001E265C" w:rsidRDefault="001E265C" w:rsidP="001E265C">
      <w:pPr>
        <w:spacing w:after="0"/>
        <w:ind w:left="720"/>
        <w:rPr>
          <w:rFonts w:ascii="Arial" w:hAnsi="Arial" w:cs="Arial"/>
          <w:sz w:val="20"/>
          <w:szCs w:val="20"/>
        </w:rPr>
      </w:pPr>
      <w:r>
        <w:rPr>
          <w:rFonts w:ascii="Arial" w:hAnsi="Arial" w:cs="Arial"/>
          <w:sz w:val="20"/>
          <w:szCs w:val="20"/>
        </w:rPr>
        <w:t xml:space="preserve">--------------------------------------------------------------------------- X </w:t>
      </w:r>
      <w:r w:rsidRPr="00167836">
        <w:rPr>
          <w:rFonts w:ascii="Arial" w:hAnsi="Arial" w:cs="Arial"/>
          <w:b/>
          <w:bCs/>
          <w:color w:val="315075"/>
          <w:sz w:val="20"/>
          <w:szCs w:val="20"/>
        </w:rPr>
        <w:t>Cost</w:t>
      </w:r>
      <w:r>
        <w:rPr>
          <w:rFonts w:ascii="Arial" w:hAnsi="Arial" w:cs="Arial"/>
          <w:sz w:val="20"/>
          <w:szCs w:val="20"/>
        </w:rPr>
        <w:t xml:space="preserve"> </w:t>
      </w:r>
      <w:r w:rsidRPr="00815723">
        <w:rPr>
          <w:rFonts w:ascii="Arial" w:hAnsi="Arial" w:cs="Arial"/>
          <w:b/>
          <w:bCs/>
          <w:color w:val="315075"/>
          <w:sz w:val="20"/>
          <w:szCs w:val="20"/>
        </w:rPr>
        <w:t>Points Possible</w:t>
      </w:r>
    </w:p>
    <w:p w14:paraId="468F9C81" w14:textId="2C6D73CF" w:rsidR="001E265C" w:rsidRDefault="001E265C" w:rsidP="001E265C">
      <w:pPr>
        <w:ind w:left="720"/>
        <w:rPr>
          <w:rFonts w:ascii="Arial" w:hAnsi="Arial" w:cs="Arial"/>
          <w:sz w:val="20"/>
          <w:szCs w:val="20"/>
        </w:rPr>
      </w:pPr>
      <w:r>
        <w:rPr>
          <w:rFonts w:ascii="Arial" w:hAnsi="Arial" w:cs="Arial"/>
          <w:b/>
          <w:bCs/>
          <w:color w:val="315075"/>
          <w:sz w:val="20"/>
          <w:szCs w:val="20"/>
        </w:rPr>
        <w:t xml:space="preserve"> </w:t>
      </w:r>
      <w:r w:rsidR="002444F9" w:rsidRPr="00815723">
        <w:rPr>
          <w:rFonts w:ascii="Arial" w:hAnsi="Arial" w:cs="Arial"/>
          <w:b/>
          <w:bCs/>
          <w:color w:val="315075"/>
          <w:sz w:val="20"/>
          <w:szCs w:val="20"/>
        </w:rPr>
        <w:t xml:space="preserve">Highest </w:t>
      </w:r>
      <w:r w:rsidR="008C59A3">
        <w:rPr>
          <w:rFonts w:ascii="Arial" w:hAnsi="Arial" w:cs="Arial"/>
          <w:b/>
          <w:bCs/>
          <w:color w:val="315075"/>
          <w:sz w:val="20"/>
          <w:szCs w:val="20"/>
        </w:rPr>
        <w:t>Responsive Pro</w:t>
      </w:r>
      <w:r w:rsidR="00EA6EB9">
        <w:rPr>
          <w:rFonts w:ascii="Arial" w:hAnsi="Arial" w:cs="Arial"/>
          <w:b/>
          <w:bCs/>
          <w:color w:val="315075"/>
          <w:sz w:val="20"/>
          <w:szCs w:val="20"/>
        </w:rPr>
        <w:t xml:space="preserve">posal </w:t>
      </w:r>
      <w:r w:rsidR="00E953E9">
        <w:rPr>
          <w:rFonts w:ascii="Arial" w:hAnsi="Arial" w:cs="Arial"/>
          <w:b/>
          <w:bCs/>
          <w:color w:val="315075"/>
          <w:sz w:val="20"/>
          <w:szCs w:val="20"/>
        </w:rPr>
        <w:t>Percentage</w:t>
      </w:r>
      <w:r w:rsidR="00E953E9" w:rsidRPr="00815723">
        <w:rPr>
          <w:rFonts w:ascii="Arial" w:hAnsi="Arial" w:cs="Arial"/>
          <w:b/>
          <w:bCs/>
          <w:color w:val="315075"/>
          <w:sz w:val="20"/>
          <w:szCs w:val="20"/>
        </w:rPr>
        <w:t xml:space="preserve"> </w:t>
      </w:r>
      <w:r w:rsidR="002444F9" w:rsidRPr="00815723">
        <w:rPr>
          <w:rFonts w:ascii="Arial" w:hAnsi="Arial" w:cs="Arial"/>
          <w:b/>
          <w:bCs/>
          <w:color w:val="315075"/>
          <w:sz w:val="20"/>
          <w:szCs w:val="20"/>
        </w:rPr>
        <w:t>Discount</w:t>
      </w:r>
    </w:p>
    <w:p w14:paraId="3D2232C7" w14:textId="3F94B279" w:rsidR="00D11F85" w:rsidRDefault="00167836" w:rsidP="007751C3">
      <w:pPr>
        <w:rPr>
          <w:rFonts w:ascii="Arial" w:hAnsi="Arial" w:cs="Arial"/>
          <w:sz w:val="20"/>
          <w:szCs w:val="20"/>
        </w:rPr>
      </w:pPr>
      <w:r w:rsidRPr="00167836">
        <w:rPr>
          <w:rFonts w:ascii="Arial" w:hAnsi="Arial" w:cs="Arial"/>
          <w:sz w:val="20"/>
          <w:szCs w:val="20"/>
        </w:rPr>
        <w:t>The Lead State reserves the right to modify this formula</w:t>
      </w:r>
      <w:r w:rsidR="00562DC6" w:rsidRPr="00562DC6">
        <w:t xml:space="preserve"> </w:t>
      </w:r>
      <w:r w:rsidR="00562DC6" w:rsidRPr="00562DC6">
        <w:rPr>
          <w:rFonts w:ascii="Arial" w:hAnsi="Arial" w:cs="Arial"/>
          <w:sz w:val="20"/>
          <w:szCs w:val="20"/>
        </w:rPr>
        <w:t>and/or assign a nominal value to “0” cost values</w:t>
      </w:r>
      <w:r w:rsidR="00562DC6">
        <w:rPr>
          <w:rFonts w:ascii="Arial" w:hAnsi="Arial" w:cs="Arial"/>
          <w:sz w:val="20"/>
          <w:szCs w:val="20"/>
        </w:rPr>
        <w:t xml:space="preserve"> </w:t>
      </w:r>
      <w:r w:rsidRPr="00167836">
        <w:rPr>
          <w:rFonts w:ascii="Arial" w:hAnsi="Arial" w:cs="Arial"/>
          <w:sz w:val="20"/>
          <w:szCs w:val="20"/>
        </w:rPr>
        <w:t>if application of the formula result</w:t>
      </w:r>
      <w:r w:rsidR="00562DC6">
        <w:rPr>
          <w:rFonts w:ascii="Arial" w:hAnsi="Arial" w:cs="Arial"/>
          <w:sz w:val="20"/>
          <w:szCs w:val="20"/>
        </w:rPr>
        <w:t>s</w:t>
      </w:r>
      <w:r w:rsidRPr="00167836">
        <w:rPr>
          <w:rFonts w:ascii="Arial" w:hAnsi="Arial" w:cs="Arial"/>
          <w:sz w:val="20"/>
          <w:szCs w:val="20"/>
        </w:rPr>
        <w:t xml:space="preserve"> in an error, negative </w:t>
      </w:r>
      <w:r w:rsidR="00ED33FD">
        <w:rPr>
          <w:rFonts w:ascii="Arial" w:hAnsi="Arial" w:cs="Arial"/>
          <w:sz w:val="20"/>
          <w:szCs w:val="20"/>
        </w:rPr>
        <w:t>numbers</w:t>
      </w:r>
      <w:r w:rsidRPr="00167836">
        <w:rPr>
          <w:rFonts w:ascii="Arial" w:hAnsi="Arial" w:cs="Arial"/>
          <w:sz w:val="20"/>
          <w:szCs w:val="20"/>
        </w:rPr>
        <w:t>, or an unreasonably skewed distribution of points.</w:t>
      </w:r>
    </w:p>
    <w:p w14:paraId="1FEF3B5D" w14:textId="48931C07" w:rsidR="0091141A" w:rsidRDefault="0091141A" w:rsidP="0091141A">
      <w:pPr>
        <w:rPr>
          <w:rFonts w:ascii="Arial" w:hAnsi="Arial" w:cs="Arial"/>
          <w:sz w:val="20"/>
          <w:szCs w:val="20"/>
        </w:rPr>
      </w:pPr>
      <w:r w:rsidRPr="00F75C88">
        <w:rPr>
          <w:rFonts w:ascii="Arial" w:hAnsi="Arial" w:cs="Arial"/>
          <w:sz w:val="20"/>
          <w:szCs w:val="20"/>
        </w:rPr>
        <w:t xml:space="preserve">At the Lead State’s discretion, points earned in the </w:t>
      </w:r>
      <w:r w:rsidR="00947083">
        <w:rPr>
          <w:rFonts w:ascii="Arial" w:hAnsi="Arial" w:cs="Arial"/>
          <w:sz w:val="20"/>
          <w:szCs w:val="20"/>
        </w:rPr>
        <w:t>Cost</w:t>
      </w:r>
      <w:r>
        <w:rPr>
          <w:rFonts w:ascii="Arial" w:hAnsi="Arial" w:cs="Arial"/>
          <w:sz w:val="20"/>
          <w:szCs w:val="20"/>
        </w:rPr>
        <w:t xml:space="preserve"> Criteria</w:t>
      </w:r>
      <w:r w:rsidRPr="00F75C88">
        <w:rPr>
          <w:rFonts w:ascii="Arial" w:hAnsi="Arial" w:cs="Arial"/>
          <w:sz w:val="20"/>
          <w:szCs w:val="20"/>
        </w:rPr>
        <w:t xml:space="preserve"> evaluation may be normalized and scaled to award the Offeror earning the highest total </w:t>
      </w:r>
      <w:r w:rsidR="00947083">
        <w:rPr>
          <w:rFonts w:ascii="Arial" w:hAnsi="Arial" w:cs="Arial"/>
          <w:sz w:val="20"/>
          <w:szCs w:val="20"/>
        </w:rPr>
        <w:t>cost</w:t>
      </w:r>
      <w:r w:rsidRPr="00F75C88">
        <w:rPr>
          <w:rFonts w:ascii="Arial" w:hAnsi="Arial" w:cs="Arial"/>
          <w:sz w:val="20"/>
          <w:szCs w:val="20"/>
        </w:rPr>
        <w:t xml:space="preserve"> score the maximum number of </w:t>
      </w:r>
      <w:r w:rsidR="00947083">
        <w:rPr>
          <w:rFonts w:ascii="Arial" w:hAnsi="Arial" w:cs="Arial"/>
          <w:sz w:val="20"/>
          <w:szCs w:val="20"/>
        </w:rPr>
        <w:t>cost</w:t>
      </w:r>
      <w:r w:rsidRPr="00F75C88">
        <w:rPr>
          <w:rFonts w:ascii="Arial" w:hAnsi="Arial" w:cs="Arial"/>
          <w:sz w:val="20"/>
          <w:szCs w:val="20"/>
        </w:rPr>
        <w:t xml:space="preserve"> points possible.</w:t>
      </w:r>
    </w:p>
    <w:p w14:paraId="16035FA3" w14:textId="1279FE45" w:rsidR="00E434C2" w:rsidRDefault="00E434C2" w:rsidP="00E434C2">
      <w:pPr>
        <w:spacing w:after="240"/>
        <w:rPr>
          <w:rFonts w:ascii="Arial" w:hAnsi="Arial" w:cs="Arial"/>
          <w:sz w:val="20"/>
          <w:szCs w:val="20"/>
        </w:rPr>
      </w:pPr>
      <w:r w:rsidRPr="00E434C2">
        <w:rPr>
          <w:rFonts w:ascii="Arial" w:hAnsi="Arial" w:cs="Arial"/>
          <w:sz w:val="20"/>
          <w:szCs w:val="20"/>
        </w:rPr>
        <w:t xml:space="preserve">Cost Proposals may also be subject to an independent review for reasonableness and best value by the Lead State. </w:t>
      </w:r>
      <w:r w:rsidR="00F37F71">
        <w:rPr>
          <w:rFonts w:ascii="Arial" w:hAnsi="Arial" w:cs="Arial"/>
          <w:sz w:val="20"/>
          <w:szCs w:val="20"/>
        </w:rPr>
        <w:t xml:space="preserve">Costs </w:t>
      </w:r>
      <w:r w:rsidR="00F37F71" w:rsidRPr="00F37F71">
        <w:rPr>
          <w:rFonts w:ascii="Arial" w:hAnsi="Arial" w:cs="Arial"/>
          <w:sz w:val="20"/>
          <w:szCs w:val="20"/>
        </w:rPr>
        <w:t>determined not to be reasonable or best-value by the Lead State, including any cost to which Offeror’s proposed markup or discount is to be applied, may result in all or part of Offeror’s proposal being rejected, notwithstanding the results of the Cost Proposal evaluation.</w:t>
      </w:r>
    </w:p>
    <w:p w14:paraId="6CBDF7EF" w14:textId="676E2138" w:rsidR="002C120D" w:rsidRDefault="00E60BFD" w:rsidP="009A7F9C">
      <w:pPr>
        <w:spacing w:after="240"/>
        <w:rPr>
          <w:rFonts w:ascii="Arial" w:hAnsi="Arial" w:cs="Arial"/>
          <w:sz w:val="20"/>
          <w:szCs w:val="20"/>
        </w:rPr>
      </w:pPr>
      <w:r w:rsidRPr="00E60BFD">
        <w:rPr>
          <w:rFonts w:ascii="Arial" w:hAnsi="Arial" w:cs="Arial"/>
          <w:sz w:val="20"/>
          <w:szCs w:val="20"/>
        </w:rPr>
        <w:t xml:space="preserve">MSRP/List Price </w:t>
      </w:r>
      <w:r w:rsidR="00B01ECE">
        <w:rPr>
          <w:rFonts w:ascii="Arial" w:hAnsi="Arial" w:cs="Arial"/>
          <w:sz w:val="20"/>
          <w:szCs w:val="20"/>
        </w:rPr>
        <w:t>D</w:t>
      </w:r>
      <w:r w:rsidRPr="00E60BFD">
        <w:rPr>
          <w:rFonts w:ascii="Arial" w:hAnsi="Arial" w:cs="Arial"/>
          <w:sz w:val="20"/>
          <w:szCs w:val="20"/>
        </w:rPr>
        <w:t xml:space="preserve">iscount </w:t>
      </w:r>
      <w:r w:rsidR="00B01ECE">
        <w:rPr>
          <w:rFonts w:ascii="Arial" w:hAnsi="Arial" w:cs="Arial"/>
          <w:sz w:val="20"/>
          <w:szCs w:val="20"/>
        </w:rPr>
        <w:t>P</w:t>
      </w:r>
      <w:r w:rsidR="00B01ECE" w:rsidRPr="00E60BFD">
        <w:rPr>
          <w:rFonts w:ascii="Arial" w:hAnsi="Arial" w:cs="Arial"/>
          <w:sz w:val="20"/>
          <w:szCs w:val="20"/>
        </w:rPr>
        <w:t xml:space="preserve">ercentages </w:t>
      </w:r>
      <w:r w:rsidRPr="00E60BFD">
        <w:rPr>
          <w:rFonts w:ascii="Arial" w:hAnsi="Arial" w:cs="Arial"/>
          <w:sz w:val="20"/>
          <w:szCs w:val="20"/>
        </w:rPr>
        <w:t xml:space="preserve">are for evaluation purposes and must be guaranteed to be the same or increased for any new product offered throughout the </w:t>
      </w:r>
      <w:r w:rsidR="00F25DBF">
        <w:rPr>
          <w:rFonts w:ascii="Arial" w:hAnsi="Arial" w:cs="Arial"/>
          <w:sz w:val="20"/>
          <w:szCs w:val="20"/>
        </w:rPr>
        <w:t>life</w:t>
      </w:r>
      <w:r w:rsidRPr="00E60BFD">
        <w:rPr>
          <w:rFonts w:ascii="Arial" w:hAnsi="Arial" w:cs="Arial"/>
          <w:sz w:val="20"/>
          <w:szCs w:val="20"/>
        </w:rPr>
        <w:t xml:space="preserve"> of the contract.</w:t>
      </w:r>
      <w:r w:rsidR="00251342">
        <w:rPr>
          <w:rFonts w:ascii="Arial" w:hAnsi="Arial" w:cs="Arial"/>
          <w:sz w:val="20"/>
          <w:szCs w:val="20"/>
        </w:rPr>
        <w:t xml:space="preserve"> </w:t>
      </w:r>
    </w:p>
    <w:p w14:paraId="6CE256EE" w14:textId="70181797" w:rsidR="00A612DB" w:rsidRPr="001776C8" w:rsidRDefault="00C43281" w:rsidP="00A612DB">
      <w:pPr>
        <w:rPr>
          <w:rFonts w:ascii="Arial" w:hAnsi="Arial" w:cs="Arial"/>
          <w:b/>
          <w:bCs/>
          <w:sz w:val="20"/>
          <w:szCs w:val="20"/>
          <w:u w:val="single"/>
        </w:rPr>
      </w:pPr>
      <w:r>
        <w:rPr>
          <w:rFonts w:ascii="Arial" w:hAnsi="Arial" w:cs="Arial"/>
          <w:b/>
          <w:bCs/>
          <w:sz w:val="20"/>
          <w:szCs w:val="20"/>
          <w:u w:val="single"/>
        </w:rPr>
        <w:t>Evaluation Summary</w:t>
      </w:r>
    </w:p>
    <w:tbl>
      <w:tblPr>
        <w:tblStyle w:val="TableGrid"/>
        <w:tblW w:w="0" w:type="auto"/>
        <w:tblLook w:val="04A0" w:firstRow="1" w:lastRow="0" w:firstColumn="1" w:lastColumn="0" w:noHBand="0" w:noVBand="1"/>
      </w:tblPr>
      <w:tblGrid>
        <w:gridCol w:w="6565"/>
        <w:gridCol w:w="1710"/>
        <w:gridCol w:w="1795"/>
      </w:tblGrid>
      <w:tr w:rsidR="00A612DB" w14:paraId="5D2658F7" w14:textId="77777777" w:rsidTr="00033186">
        <w:tc>
          <w:tcPr>
            <w:tcW w:w="6565" w:type="dxa"/>
            <w:tcBorders>
              <w:left w:val="single" w:sz="4" w:space="0" w:color="auto"/>
            </w:tcBorders>
            <w:shd w:val="clear" w:color="auto" w:fill="D9D9D9" w:themeFill="background1" w:themeFillShade="D9"/>
            <w:vAlign w:val="center"/>
          </w:tcPr>
          <w:p w14:paraId="7363B49C" w14:textId="0F61977D" w:rsidR="00A612DB" w:rsidRPr="00E4509A" w:rsidRDefault="00255196">
            <w:pPr>
              <w:jc w:val="center"/>
              <w:rPr>
                <w:rFonts w:ascii="Arial" w:hAnsi="Arial" w:cs="Arial"/>
                <w:b/>
                <w:bCs/>
                <w:sz w:val="20"/>
                <w:szCs w:val="20"/>
              </w:rPr>
            </w:pPr>
            <w:r>
              <w:rPr>
                <w:rFonts w:ascii="Arial" w:hAnsi="Arial" w:cs="Arial"/>
                <w:b/>
                <w:bCs/>
                <w:sz w:val="20"/>
                <w:szCs w:val="20"/>
              </w:rPr>
              <w:t>Stage</w:t>
            </w:r>
          </w:p>
        </w:tc>
        <w:tc>
          <w:tcPr>
            <w:tcW w:w="1710" w:type="dxa"/>
            <w:shd w:val="clear" w:color="auto" w:fill="D9D9D9" w:themeFill="background1" w:themeFillShade="D9"/>
            <w:vAlign w:val="center"/>
          </w:tcPr>
          <w:p w14:paraId="5314B836" w14:textId="017C7696" w:rsidR="00A612DB" w:rsidRPr="00E4509A" w:rsidRDefault="00C42C3A">
            <w:pPr>
              <w:jc w:val="center"/>
              <w:rPr>
                <w:rFonts w:ascii="Arial" w:hAnsi="Arial" w:cs="Arial"/>
                <w:b/>
                <w:bCs/>
                <w:sz w:val="20"/>
                <w:szCs w:val="20"/>
              </w:rPr>
            </w:pPr>
            <w:r>
              <w:rPr>
                <w:rFonts w:ascii="Arial" w:hAnsi="Arial" w:cs="Arial"/>
                <w:b/>
                <w:bCs/>
                <w:sz w:val="20"/>
                <w:szCs w:val="20"/>
              </w:rPr>
              <w:t xml:space="preserve">Total </w:t>
            </w:r>
            <w:r w:rsidR="00A612DB">
              <w:rPr>
                <w:rFonts w:ascii="Arial" w:hAnsi="Arial" w:cs="Arial"/>
                <w:b/>
                <w:bCs/>
                <w:sz w:val="20"/>
                <w:szCs w:val="20"/>
              </w:rPr>
              <w:t>Points Possible</w:t>
            </w:r>
          </w:p>
        </w:tc>
        <w:tc>
          <w:tcPr>
            <w:tcW w:w="1795" w:type="dxa"/>
            <w:tcBorders>
              <w:bottom w:val="single" w:sz="4" w:space="0" w:color="auto"/>
              <w:right w:val="single" w:sz="4" w:space="0" w:color="auto"/>
            </w:tcBorders>
            <w:shd w:val="clear" w:color="auto" w:fill="D9D9D9" w:themeFill="background1" w:themeFillShade="D9"/>
            <w:vAlign w:val="center"/>
          </w:tcPr>
          <w:p w14:paraId="5CEBCD0D" w14:textId="3F362556" w:rsidR="00A612DB" w:rsidRPr="00E4509A" w:rsidRDefault="00A612DB">
            <w:pPr>
              <w:jc w:val="center"/>
              <w:rPr>
                <w:rFonts w:ascii="Arial" w:hAnsi="Arial" w:cs="Arial"/>
                <w:b/>
                <w:bCs/>
                <w:sz w:val="20"/>
                <w:szCs w:val="20"/>
              </w:rPr>
            </w:pPr>
            <w:r>
              <w:rPr>
                <w:rFonts w:ascii="Arial" w:hAnsi="Arial" w:cs="Arial"/>
                <w:b/>
                <w:bCs/>
                <w:sz w:val="20"/>
                <w:szCs w:val="20"/>
              </w:rPr>
              <w:t xml:space="preserve">Offeror’s </w:t>
            </w:r>
            <w:r w:rsidR="00C42C3A">
              <w:rPr>
                <w:rFonts w:ascii="Arial" w:hAnsi="Arial" w:cs="Arial"/>
                <w:b/>
                <w:bCs/>
                <w:sz w:val="20"/>
                <w:szCs w:val="20"/>
              </w:rPr>
              <w:t xml:space="preserve">Total </w:t>
            </w:r>
            <w:r>
              <w:rPr>
                <w:rFonts w:ascii="Arial" w:hAnsi="Arial" w:cs="Arial"/>
                <w:b/>
                <w:bCs/>
                <w:sz w:val="20"/>
                <w:szCs w:val="20"/>
              </w:rPr>
              <w:t>Points Earned</w:t>
            </w:r>
          </w:p>
        </w:tc>
      </w:tr>
      <w:tr w:rsidR="00A612DB" w14:paraId="4149EDD5" w14:textId="77777777" w:rsidTr="00033186">
        <w:tc>
          <w:tcPr>
            <w:tcW w:w="6565" w:type="dxa"/>
            <w:tcBorders>
              <w:left w:val="single" w:sz="4" w:space="0" w:color="auto"/>
            </w:tcBorders>
            <w:vAlign w:val="center"/>
          </w:tcPr>
          <w:p w14:paraId="232FF57E" w14:textId="13A3CDF1" w:rsidR="00A612DB" w:rsidRDefault="00815723">
            <w:pPr>
              <w:rPr>
                <w:rFonts w:ascii="Arial" w:hAnsi="Arial" w:cs="Arial"/>
                <w:sz w:val="20"/>
                <w:szCs w:val="20"/>
              </w:rPr>
            </w:pPr>
            <w:r>
              <w:rPr>
                <w:rFonts w:ascii="Arial" w:hAnsi="Arial" w:cs="Arial"/>
                <w:sz w:val="20"/>
                <w:szCs w:val="20"/>
              </w:rPr>
              <w:t xml:space="preserve">Technical </w:t>
            </w:r>
            <w:r w:rsidR="00255196">
              <w:rPr>
                <w:rFonts w:ascii="Arial" w:hAnsi="Arial" w:cs="Arial"/>
                <w:sz w:val="20"/>
                <w:szCs w:val="20"/>
              </w:rPr>
              <w:t xml:space="preserve">Criteria </w:t>
            </w:r>
            <w:r>
              <w:rPr>
                <w:rFonts w:ascii="Arial" w:hAnsi="Arial" w:cs="Arial"/>
                <w:sz w:val="20"/>
                <w:szCs w:val="20"/>
              </w:rPr>
              <w:t>Evaluation</w:t>
            </w:r>
          </w:p>
        </w:tc>
        <w:tc>
          <w:tcPr>
            <w:tcW w:w="1710" w:type="dxa"/>
            <w:vAlign w:val="center"/>
          </w:tcPr>
          <w:p w14:paraId="01E99C9F" w14:textId="386A8677" w:rsidR="00A612DB" w:rsidRDefault="008D1B39">
            <w:pPr>
              <w:jc w:val="center"/>
              <w:rPr>
                <w:rFonts w:ascii="Arial" w:hAnsi="Arial" w:cs="Arial"/>
                <w:sz w:val="20"/>
                <w:szCs w:val="20"/>
              </w:rPr>
            </w:pPr>
            <w:r>
              <w:rPr>
                <w:rFonts w:ascii="Arial" w:hAnsi="Arial" w:cs="Arial"/>
                <w:sz w:val="20"/>
                <w:szCs w:val="20"/>
              </w:rPr>
              <w:t>750</w:t>
            </w:r>
          </w:p>
        </w:tc>
        <w:tc>
          <w:tcPr>
            <w:tcW w:w="1795" w:type="dxa"/>
            <w:tcBorders>
              <w:right w:val="single" w:sz="4" w:space="0" w:color="auto"/>
            </w:tcBorders>
            <w:vAlign w:val="center"/>
          </w:tcPr>
          <w:p w14:paraId="7A2A3BED" w14:textId="77777777" w:rsidR="00A612DB" w:rsidRDefault="00A612DB">
            <w:pPr>
              <w:jc w:val="center"/>
              <w:rPr>
                <w:rFonts w:ascii="Arial" w:hAnsi="Arial" w:cs="Arial"/>
                <w:sz w:val="20"/>
                <w:szCs w:val="20"/>
              </w:rPr>
            </w:pPr>
          </w:p>
        </w:tc>
      </w:tr>
      <w:tr w:rsidR="00A612DB" w14:paraId="0AAB0014" w14:textId="77777777" w:rsidTr="00033186">
        <w:tc>
          <w:tcPr>
            <w:tcW w:w="6565" w:type="dxa"/>
            <w:tcBorders>
              <w:left w:val="single" w:sz="4" w:space="0" w:color="auto"/>
            </w:tcBorders>
            <w:vAlign w:val="center"/>
          </w:tcPr>
          <w:p w14:paraId="4C35E32A" w14:textId="53236801" w:rsidR="00A612DB" w:rsidRDefault="00815723">
            <w:pPr>
              <w:rPr>
                <w:rFonts w:ascii="Arial" w:hAnsi="Arial" w:cs="Arial"/>
                <w:sz w:val="20"/>
                <w:szCs w:val="20"/>
              </w:rPr>
            </w:pPr>
            <w:r>
              <w:rPr>
                <w:rFonts w:ascii="Arial" w:hAnsi="Arial" w:cs="Arial"/>
                <w:sz w:val="20"/>
                <w:szCs w:val="20"/>
              </w:rPr>
              <w:t>Cost Evaluation</w:t>
            </w:r>
            <w:r w:rsidR="003B00D7">
              <w:rPr>
                <w:rFonts w:ascii="Arial" w:hAnsi="Arial" w:cs="Arial"/>
                <w:sz w:val="20"/>
                <w:szCs w:val="20"/>
              </w:rPr>
              <w:t xml:space="preserve"> (</w:t>
            </w:r>
            <w:r w:rsidR="003B00D7" w:rsidRPr="006B2AE2">
              <w:rPr>
                <w:rFonts w:ascii="Arial" w:hAnsi="Arial" w:cs="Arial"/>
                <w:sz w:val="20"/>
                <w:szCs w:val="20"/>
              </w:rPr>
              <w:t>Market Basket 0101.07</w:t>
            </w:r>
            <w:r w:rsidR="003B00D7">
              <w:rPr>
                <w:rFonts w:ascii="Arial" w:hAnsi="Arial" w:cs="Arial"/>
                <w:sz w:val="20"/>
                <w:szCs w:val="20"/>
              </w:rPr>
              <w:t xml:space="preserve"> &amp; 0101.06)</w:t>
            </w:r>
          </w:p>
        </w:tc>
        <w:tc>
          <w:tcPr>
            <w:tcW w:w="1710" w:type="dxa"/>
            <w:vAlign w:val="center"/>
          </w:tcPr>
          <w:p w14:paraId="4A58937B" w14:textId="2644CC9E" w:rsidR="00A612DB" w:rsidRDefault="008D1B39">
            <w:pPr>
              <w:jc w:val="center"/>
              <w:rPr>
                <w:rFonts w:ascii="Arial" w:hAnsi="Arial" w:cs="Arial"/>
                <w:sz w:val="20"/>
                <w:szCs w:val="20"/>
              </w:rPr>
            </w:pPr>
            <w:r>
              <w:rPr>
                <w:rFonts w:ascii="Arial" w:hAnsi="Arial" w:cs="Arial"/>
                <w:sz w:val="20"/>
                <w:szCs w:val="20"/>
              </w:rPr>
              <w:t>250</w:t>
            </w:r>
          </w:p>
        </w:tc>
        <w:tc>
          <w:tcPr>
            <w:tcW w:w="1795" w:type="dxa"/>
            <w:tcBorders>
              <w:right w:val="single" w:sz="4" w:space="0" w:color="auto"/>
            </w:tcBorders>
            <w:vAlign w:val="center"/>
          </w:tcPr>
          <w:p w14:paraId="431EABA0" w14:textId="77777777" w:rsidR="00A612DB" w:rsidRDefault="00A612DB">
            <w:pPr>
              <w:jc w:val="center"/>
              <w:rPr>
                <w:rFonts w:ascii="Arial" w:hAnsi="Arial" w:cs="Arial"/>
                <w:sz w:val="20"/>
                <w:szCs w:val="20"/>
              </w:rPr>
            </w:pPr>
          </w:p>
        </w:tc>
      </w:tr>
      <w:tr w:rsidR="00A612DB" w14:paraId="25E3C617" w14:textId="77777777" w:rsidTr="00033186">
        <w:tc>
          <w:tcPr>
            <w:tcW w:w="6565" w:type="dxa"/>
            <w:tcBorders>
              <w:left w:val="nil"/>
              <w:bottom w:val="nil"/>
              <w:right w:val="single" w:sz="4" w:space="0" w:color="auto"/>
            </w:tcBorders>
            <w:vAlign w:val="center"/>
          </w:tcPr>
          <w:p w14:paraId="0FF7667B" w14:textId="77777777" w:rsidR="00A612DB" w:rsidRPr="00D11F85" w:rsidRDefault="00A612DB">
            <w:pPr>
              <w:jc w:val="right"/>
              <w:rPr>
                <w:rFonts w:ascii="Arial" w:hAnsi="Arial" w:cs="Arial"/>
                <w:b/>
                <w:bCs/>
                <w:sz w:val="20"/>
                <w:szCs w:val="20"/>
              </w:rPr>
            </w:pPr>
            <w:r>
              <w:rPr>
                <w:rFonts w:ascii="Arial" w:hAnsi="Arial" w:cs="Arial"/>
                <w:b/>
                <w:bCs/>
                <w:sz w:val="20"/>
                <w:szCs w:val="20"/>
              </w:rPr>
              <w:t>Total:</w:t>
            </w:r>
          </w:p>
        </w:tc>
        <w:tc>
          <w:tcPr>
            <w:tcW w:w="1710" w:type="dxa"/>
            <w:tcBorders>
              <w:left w:val="single" w:sz="4" w:space="0" w:color="auto"/>
              <w:bottom w:val="single" w:sz="4" w:space="0" w:color="auto"/>
              <w:right w:val="single" w:sz="4" w:space="0" w:color="auto"/>
            </w:tcBorders>
            <w:vAlign w:val="center"/>
          </w:tcPr>
          <w:p w14:paraId="21233F39" w14:textId="2C9B9062" w:rsidR="00A612DB" w:rsidRPr="00D11F85" w:rsidRDefault="00815723">
            <w:pPr>
              <w:jc w:val="center"/>
              <w:rPr>
                <w:rFonts w:ascii="Arial" w:hAnsi="Arial" w:cs="Arial"/>
                <w:b/>
                <w:bCs/>
                <w:sz w:val="20"/>
                <w:szCs w:val="20"/>
              </w:rPr>
            </w:pPr>
            <w:r>
              <w:rPr>
                <w:rFonts w:ascii="Arial" w:hAnsi="Arial" w:cs="Arial"/>
                <w:b/>
                <w:bCs/>
                <w:sz w:val="20"/>
                <w:szCs w:val="20"/>
              </w:rPr>
              <w:t>1000</w:t>
            </w:r>
          </w:p>
        </w:tc>
        <w:tc>
          <w:tcPr>
            <w:tcW w:w="1795" w:type="dxa"/>
            <w:tcBorders>
              <w:left w:val="single" w:sz="4" w:space="0" w:color="auto"/>
              <w:bottom w:val="single" w:sz="4" w:space="0" w:color="auto"/>
              <w:right w:val="single" w:sz="4" w:space="0" w:color="auto"/>
            </w:tcBorders>
            <w:vAlign w:val="center"/>
          </w:tcPr>
          <w:p w14:paraId="603D2C92" w14:textId="77777777" w:rsidR="00A612DB" w:rsidRPr="001776C8" w:rsidRDefault="00A612DB">
            <w:pPr>
              <w:jc w:val="center"/>
              <w:rPr>
                <w:rFonts w:ascii="Arial" w:hAnsi="Arial" w:cs="Arial"/>
                <w:b/>
                <w:bCs/>
                <w:sz w:val="20"/>
                <w:szCs w:val="20"/>
              </w:rPr>
            </w:pPr>
          </w:p>
        </w:tc>
      </w:tr>
    </w:tbl>
    <w:p w14:paraId="3A0785D4" w14:textId="77777777" w:rsidR="00815723" w:rsidRDefault="00815723" w:rsidP="00BB358C">
      <w:pPr>
        <w:rPr>
          <w:rFonts w:ascii="Arial" w:hAnsi="Arial" w:cs="Arial"/>
          <w:b/>
          <w:bCs/>
          <w:sz w:val="20"/>
          <w:szCs w:val="20"/>
          <w:u w:val="single"/>
        </w:rPr>
      </w:pPr>
    </w:p>
    <w:tbl>
      <w:tblPr>
        <w:tblStyle w:val="TableGrid"/>
        <w:tblW w:w="0" w:type="auto"/>
        <w:tblLook w:val="04A0" w:firstRow="1" w:lastRow="0" w:firstColumn="1" w:lastColumn="0" w:noHBand="0" w:noVBand="1"/>
      </w:tblPr>
      <w:tblGrid>
        <w:gridCol w:w="6565"/>
        <w:gridCol w:w="1710"/>
        <w:gridCol w:w="1795"/>
      </w:tblGrid>
      <w:tr w:rsidR="00E813A8" w14:paraId="26D1B551" w14:textId="77777777" w:rsidTr="00033186">
        <w:tc>
          <w:tcPr>
            <w:tcW w:w="6565" w:type="dxa"/>
            <w:tcBorders>
              <w:left w:val="single" w:sz="4" w:space="0" w:color="auto"/>
            </w:tcBorders>
            <w:shd w:val="clear" w:color="auto" w:fill="D9D9D9" w:themeFill="background1" w:themeFillShade="D9"/>
            <w:vAlign w:val="center"/>
          </w:tcPr>
          <w:p w14:paraId="01ACA5E9" w14:textId="77777777" w:rsidR="00E813A8" w:rsidRPr="00E4509A" w:rsidRDefault="00E813A8" w:rsidP="001D31E6">
            <w:pPr>
              <w:jc w:val="center"/>
              <w:rPr>
                <w:rFonts w:ascii="Arial" w:hAnsi="Arial" w:cs="Arial"/>
                <w:b/>
                <w:bCs/>
                <w:sz w:val="20"/>
                <w:szCs w:val="20"/>
              </w:rPr>
            </w:pPr>
            <w:r>
              <w:rPr>
                <w:rFonts w:ascii="Arial" w:hAnsi="Arial" w:cs="Arial"/>
                <w:b/>
                <w:bCs/>
                <w:sz w:val="20"/>
                <w:szCs w:val="20"/>
              </w:rPr>
              <w:t>Stage</w:t>
            </w:r>
          </w:p>
        </w:tc>
        <w:tc>
          <w:tcPr>
            <w:tcW w:w="1710" w:type="dxa"/>
            <w:shd w:val="clear" w:color="auto" w:fill="D9D9D9" w:themeFill="background1" w:themeFillShade="D9"/>
            <w:vAlign w:val="center"/>
          </w:tcPr>
          <w:p w14:paraId="576597F6" w14:textId="77777777" w:rsidR="00E813A8" w:rsidRPr="00E4509A" w:rsidRDefault="00E813A8" w:rsidP="001D31E6">
            <w:pPr>
              <w:jc w:val="center"/>
              <w:rPr>
                <w:rFonts w:ascii="Arial" w:hAnsi="Arial" w:cs="Arial"/>
                <w:b/>
                <w:bCs/>
                <w:sz w:val="20"/>
                <w:szCs w:val="20"/>
              </w:rPr>
            </w:pPr>
            <w:r>
              <w:rPr>
                <w:rFonts w:ascii="Arial" w:hAnsi="Arial" w:cs="Arial"/>
                <w:b/>
                <w:bCs/>
                <w:sz w:val="20"/>
                <w:szCs w:val="20"/>
              </w:rPr>
              <w:t>Total Points Possible</w:t>
            </w:r>
          </w:p>
        </w:tc>
        <w:tc>
          <w:tcPr>
            <w:tcW w:w="1795" w:type="dxa"/>
            <w:tcBorders>
              <w:bottom w:val="single" w:sz="4" w:space="0" w:color="auto"/>
              <w:right w:val="single" w:sz="4" w:space="0" w:color="auto"/>
            </w:tcBorders>
            <w:shd w:val="clear" w:color="auto" w:fill="D9D9D9" w:themeFill="background1" w:themeFillShade="D9"/>
            <w:vAlign w:val="center"/>
          </w:tcPr>
          <w:p w14:paraId="6F839AAC" w14:textId="77777777" w:rsidR="00E813A8" w:rsidRPr="00E4509A" w:rsidRDefault="00E813A8" w:rsidP="001D31E6">
            <w:pPr>
              <w:jc w:val="center"/>
              <w:rPr>
                <w:rFonts w:ascii="Arial" w:hAnsi="Arial" w:cs="Arial"/>
                <w:b/>
                <w:bCs/>
                <w:sz w:val="20"/>
                <w:szCs w:val="20"/>
              </w:rPr>
            </w:pPr>
            <w:r>
              <w:rPr>
                <w:rFonts w:ascii="Arial" w:hAnsi="Arial" w:cs="Arial"/>
                <w:b/>
                <w:bCs/>
                <w:sz w:val="20"/>
                <w:szCs w:val="20"/>
              </w:rPr>
              <w:t>Offeror’s Total Points Earned</w:t>
            </w:r>
          </w:p>
        </w:tc>
      </w:tr>
      <w:tr w:rsidR="00E813A8" w14:paraId="7D2DAB42" w14:textId="77777777" w:rsidTr="00033186">
        <w:tc>
          <w:tcPr>
            <w:tcW w:w="6565" w:type="dxa"/>
            <w:tcBorders>
              <w:left w:val="single" w:sz="4" w:space="0" w:color="auto"/>
            </w:tcBorders>
            <w:vAlign w:val="center"/>
          </w:tcPr>
          <w:p w14:paraId="5625AF94" w14:textId="77777777" w:rsidR="00E813A8" w:rsidRDefault="00E813A8" w:rsidP="001D31E6">
            <w:pPr>
              <w:rPr>
                <w:rFonts w:ascii="Arial" w:hAnsi="Arial" w:cs="Arial"/>
                <w:sz w:val="20"/>
                <w:szCs w:val="20"/>
              </w:rPr>
            </w:pPr>
            <w:r>
              <w:rPr>
                <w:rFonts w:ascii="Arial" w:hAnsi="Arial" w:cs="Arial"/>
                <w:sz w:val="20"/>
                <w:szCs w:val="20"/>
              </w:rPr>
              <w:t>Technical Criteria Evaluation</w:t>
            </w:r>
          </w:p>
        </w:tc>
        <w:tc>
          <w:tcPr>
            <w:tcW w:w="1710" w:type="dxa"/>
            <w:vAlign w:val="center"/>
          </w:tcPr>
          <w:p w14:paraId="7ECDA1B8" w14:textId="77777777" w:rsidR="00E813A8" w:rsidRDefault="00E813A8" w:rsidP="001D31E6">
            <w:pPr>
              <w:jc w:val="center"/>
              <w:rPr>
                <w:rFonts w:ascii="Arial" w:hAnsi="Arial" w:cs="Arial"/>
                <w:sz w:val="20"/>
                <w:szCs w:val="20"/>
              </w:rPr>
            </w:pPr>
            <w:r>
              <w:rPr>
                <w:rFonts w:ascii="Arial" w:hAnsi="Arial" w:cs="Arial"/>
                <w:sz w:val="20"/>
                <w:szCs w:val="20"/>
              </w:rPr>
              <w:t>750</w:t>
            </w:r>
          </w:p>
        </w:tc>
        <w:tc>
          <w:tcPr>
            <w:tcW w:w="1795" w:type="dxa"/>
            <w:tcBorders>
              <w:right w:val="single" w:sz="4" w:space="0" w:color="auto"/>
            </w:tcBorders>
            <w:vAlign w:val="center"/>
          </w:tcPr>
          <w:p w14:paraId="31C211B2" w14:textId="77777777" w:rsidR="00E813A8" w:rsidRDefault="00E813A8" w:rsidP="001D31E6">
            <w:pPr>
              <w:jc w:val="center"/>
              <w:rPr>
                <w:rFonts w:ascii="Arial" w:hAnsi="Arial" w:cs="Arial"/>
                <w:sz w:val="20"/>
                <w:szCs w:val="20"/>
              </w:rPr>
            </w:pPr>
          </w:p>
        </w:tc>
      </w:tr>
      <w:tr w:rsidR="00E813A8" w14:paraId="25603794" w14:textId="77777777" w:rsidTr="00033186">
        <w:tc>
          <w:tcPr>
            <w:tcW w:w="6565" w:type="dxa"/>
            <w:tcBorders>
              <w:left w:val="single" w:sz="4" w:space="0" w:color="auto"/>
            </w:tcBorders>
            <w:vAlign w:val="center"/>
          </w:tcPr>
          <w:p w14:paraId="5C0FFBC2" w14:textId="37EB8FAB" w:rsidR="00E813A8" w:rsidRDefault="00E813A8" w:rsidP="001D31E6">
            <w:pPr>
              <w:rPr>
                <w:rFonts w:ascii="Arial" w:hAnsi="Arial" w:cs="Arial"/>
                <w:sz w:val="20"/>
                <w:szCs w:val="20"/>
              </w:rPr>
            </w:pPr>
            <w:r>
              <w:rPr>
                <w:rFonts w:ascii="Arial" w:hAnsi="Arial" w:cs="Arial"/>
                <w:sz w:val="20"/>
                <w:szCs w:val="20"/>
              </w:rPr>
              <w:t>Cost Evaluation</w:t>
            </w:r>
            <w:r w:rsidR="003B00D7">
              <w:rPr>
                <w:rFonts w:ascii="Arial" w:hAnsi="Arial" w:cs="Arial"/>
                <w:sz w:val="20"/>
                <w:szCs w:val="20"/>
              </w:rPr>
              <w:t xml:space="preserve"> (ASTM</w:t>
            </w:r>
            <w:r w:rsidR="00C01B42">
              <w:rPr>
                <w:rFonts w:ascii="Arial" w:hAnsi="Arial" w:cs="Arial"/>
                <w:sz w:val="20"/>
                <w:szCs w:val="20"/>
              </w:rPr>
              <w:t xml:space="preserve"> Helmets &amp; Shields</w:t>
            </w:r>
            <w:r w:rsidR="003B00D7">
              <w:rPr>
                <w:rFonts w:ascii="Arial" w:hAnsi="Arial" w:cs="Arial"/>
                <w:sz w:val="20"/>
                <w:szCs w:val="20"/>
              </w:rPr>
              <w:t xml:space="preserve"> &amp; </w:t>
            </w:r>
            <w:r w:rsidR="003B00D7" w:rsidRPr="00CD3DB7">
              <w:rPr>
                <w:rFonts w:ascii="Arial" w:hAnsi="Arial" w:cs="Arial"/>
                <w:sz w:val="20"/>
                <w:szCs w:val="20"/>
              </w:rPr>
              <w:t>Non-Market Basket</w:t>
            </w:r>
            <w:r w:rsidR="003B00D7">
              <w:rPr>
                <w:rFonts w:ascii="Arial" w:hAnsi="Arial" w:cs="Arial"/>
                <w:sz w:val="20"/>
                <w:szCs w:val="20"/>
              </w:rPr>
              <w:t xml:space="preserve"> Helmets &amp; Shields)</w:t>
            </w:r>
          </w:p>
        </w:tc>
        <w:tc>
          <w:tcPr>
            <w:tcW w:w="1710" w:type="dxa"/>
            <w:vAlign w:val="center"/>
          </w:tcPr>
          <w:p w14:paraId="6C3A3A2F" w14:textId="77777777" w:rsidR="00E813A8" w:rsidRDefault="00E813A8" w:rsidP="001D31E6">
            <w:pPr>
              <w:jc w:val="center"/>
              <w:rPr>
                <w:rFonts w:ascii="Arial" w:hAnsi="Arial" w:cs="Arial"/>
                <w:sz w:val="20"/>
                <w:szCs w:val="20"/>
              </w:rPr>
            </w:pPr>
            <w:r>
              <w:rPr>
                <w:rFonts w:ascii="Arial" w:hAnsi="Arial" w:cs="Arial"/>
                <w:sz w:val="20"/>
                <w:szCs w:val="20"/>
              </w:rPr>
              <w:t>250</w:t>
            </w:r>
          </w:p>
        </w:tc>
        <w:tc>
          <w:tcPr>
            <w:tcW w:w="1795" w:type="dxa"/>
            <w:tcBorders>
              <w:right w:val="single" w:sz="4" w:space="0" w:color="auto"/>
            </w:tcBorders>
            <w:vAlign w:val="center"/>
          </w:tcPr>
          <w:p w14:paraId="10D70ED2" w14:textId="77777777" w:rsidR="00E813A8" w:rsidRDefault="00E813A8" w:rsidP="001D31E6">
            <w:pPr>
              <w:jc w:val="center"/>
              <w:rPr>
                <w:rFonts w:ascii="Arial" w:hAnsi="Arial" w:cs="Arial"/>
                <w:sz w:val="20"/>
                <w:szCs w:val="20"/>
              </w:rPr>
            </w:pPr>
          </w:p>
        </w:tc>
      </w:tr>
      <w:tr w:rsidR="00E813A8" w14:paraId="53705166" w14:textId="77777777" w:rsidTr="00033186">
        <w:tc>
          <w:tcPr>
            <w:tcW w:w="6565" w:type="dxa"/>
            <w:tcBorders>
              <w:left w:val="nil"/>
              <w:bottom w:val="nil"/>
              <w:right w:val="single" w:sz="4" w:space="0" w:color="auto"/>
            </w:tcBorders>
            <w:vAlign w:val="center"/>
          </w:tcPr>
          <w:p w14:paraId="7740DF76" w14:textId="77777777" w:rsidR="00E813A8" w:rsidRPr="00D11F85" w:rsidRDefault="00E813A8" w:rsidP="001D31E6">
            <w:pPr>
              <w:jc w:val="right"/>
              <w:rPr>
                <w:rFonts w:ascii="Arial" w:hAnsi="Arial" w:cs="Arial"/>
                <w:b/>
                <w:bCs/>
                <w:sz w:val="20"/>
                <w:szCs w:val="20"/>
              </w:rPr>
            </w:pPr>
            <w:r>
              <w:rPr>
                <w:rFonts w:ascii="Arial" w:hAnsi="Arial" w:cs="Arial"/>
                <w:b/>
                <w:bCs/>
                <w:sz w:val="20"/>
                <w:szCs w:val="20"/>
              </w:rPr>
              <w:t>Total:</w:t>
            </w:r>
          </w:p>
        </w:tc>
        <w:tc>
          <w:tcPr>
            <w:tcW w:w="1710" w:type="dxa"/>
            <w:tcBorders>
              <w:left w:val="single" w:sz="4" w:space="0" w:color="auto"/>
              <w:bottom w:val="single" w:sz="4" w:space="0" w:color="auto"/>
              <w:right w:val="single" w:sz="4" w:space="0" w:color="auto"/>
            </w:tcBorders>
            <w:vAlign w:val="center"/>
          </w:tcPr>
          <w:p w14:paraId="0EC9A2A3" w14:textId="77777777" w:rsidR="00E813A8" w:rsidRPr="00D11F85" w:rsidRDefault="00E813A8" w:rsidP="001D31E6">
            <w:pPr>
              <w:jc w:val="center"/>
              <w:rPr>
                <w:rFonts w:ascii="Arial" w:hAnsi="Arial" w:cs="Arial"/>
                <w:b/>
                <w:bCs/>
                <w:sz w:val="20"/>
                <w:szCs w:val="20"/>
              </w:rPr>
            </w:pPr>
            <w:r>
              <w:rPr>
                <w:rFonts w:ascii="Arial" w:hAnsi="Arial" w:cs="Arial"/>
                <w:b/>
                <w:bCs/>
                <w:sz w:val="20"/>
                <w:szCs w:val="20"/>
              </w:rPr>
              <w:t>1000</w:t>
            </w:r>
          </w:p>
        </w:tc>
        <w:tc>
          <w:tcPr>
            <w:tcW w:w="1795" w:type="dxa"/>
            <w:tcBorders>
              <w:left w:val="single" w:sz="4" w:space="0" w:color="auto"/>
              <w:bottom w:val="single" w:sz="4" w:space="0" w:color="auto"/>
              <w:right w:val="single" w:sz="4" w:space="0" w:color="auto"/>
            </w:tcBorders>
            <w:vAlign w:val="center"/>
          </w:tcPr>
          <w:p w14:paraId="687108ED" w14:textId="77777777" w:rsidR="00E813A8" w:rsidRPr="001776C8" w:rsidRDefault="00E813A8" w:rsidP="001D31E6">
            <w:pPr>
              <w:jc w:val="center"/>
              <w:rPr>
                <w:rFonts w:ascii="Arial" w:hAnsi="Arial" w:cs="Arial"/>
                <w:b/>
                <w:bCs/>
                <w:sz w:val="20"/>
                <w:szCs w:val="20"/>
              </w:rPr>
            </w:pPr>
          </w:p>
        </w:tc>
      </w:tr>
    </w:tbl>
    <w:p w14:paraId="13C9847D" w14:textId="77777777" w:rsidR="00E813A8" w:rsidRDefault="00E813A8" w:rsidP="00BB358C">
      <w:pPr>
        <w:rPr>
          <w:rFonts w:ascii="Arial" w:hAnsi="Arial" w:cs="Arial"/>
          <w:b/>
          <w:bCs/>
          <w:sz w:val="20"/>
          <w:szCs w:val="20"/>
          <w:u w:val="single"/>
        </w:rPr>
      </w:pPr>
    </w:p>
    <w:tbl>
      <w:tblPr>
        <w:tblStyle w:val="TableGrid"/>
        <w:tblW w:w="0" w:type="auto"/>
        <w:tblLook w:val="04A0" w:firstRow="1" w:lastRow="0" w:firstColumn="1" w:lastColumn="0" w:noHBand="0" w:noVBand="1"/>
      </w:tblPr>
      <w:tblGrid>
        <w:gridCol w:w="6565"/>
        <w:gridCol w:w="1710"/>
        <w:gridCol w:w="1795"/>
      </w:tblGrid>
      <w:tr w:rsidR="00461135" w14:paraId="0E73D304" w14:textId="77777777" w:rsidTr="00033186">
        <w:tc>
          <w:tcPr>
            <w:tcW w:w="6565" w:type="dxa"/>
            <w:tcBorders>
              <w:left w:val="single" w:sz="4" w:space="0" w:color="auto"/>
            </w:tcBorders>
            <w:shd w:val="clear" w:color="auto" w:fill="D9D9D9" w:themeFill="background1" w:themeFillShade="D9"/>
            <w:vAlign w:val="center"/>
          </w:tcPr>
          <w:p w14:paraId="4AFD3C47" w14:textId="77777777" w:rsidR="00461135" w:rsidRPr="00E4509A" w:rsidRDefault="00461135" w:rsidP="007575B1">
            <w:pPr>
              <w:jc w:val="center"/>
              <w:rPr>
                <w:rFonts w:ascii="Arial" w:hAnsi="Arial" w:cs="Arial"/>
                <w:b/>
                <w:bCs/>
                <w:sz w:val="20"/>
                <w:szCs w:val="20"/>
              </w:rPr>
            </w:pPr>
            <w:r>
              <w:rPr>
                <w:rFonts w:ascii="Arial" w:hAnsi="Arial" w:cs="Arial"/>
                <w:b/>
                <w:bCs/>
                <w:sz w:val="20"/>
                <w:szCs w:val="20"/>
              </w:rPr>
              <w:t>Stage</w:t>
            </w:r>
          </w:p>
        </w:tc>
        <w:tc>
          <w:tcPr>
            <w:tcW w:w="1710" w:type="dxa"/>
            <w:shd w:val="clear" w:color="auto" w:fill="D9D9D9" w:themeFill="background1" w:themeFillShade="D9"/>
            <w:vAlign w:val="center"/>
          </w:tcPr>
          <w:p w14:paraId="6FFE5B8A" w14:textId="77777777" w:rsidR="00461135" w:rsidRPr="00E4509A" w:rsidRDefault="00461135" w:rsidP="007575B1">
            <w:pPr>
              <w:jc w:val="center"/>
              <w:rPr>
                <w:rFonts w:ascii="Arial" w:hAnsi="Arial" w:cs="Arial"/>
                <w:b/>
                <w:bCs/>
                <w:sz w:val="20"/>
                <w:szCs w:val="20"/>
              </w:rPr>
            </w:pPr>
            <w:r>
              <w:rPr>
                <w:rFonts w:ascii="Arial" w:hAnsi="Arial" w:cs="Arial"/>
                <w:b/>
                <w:bCs/>
                <w:sz w:val="20"/>
                <w:szCs w:val="20"/>
              </w:rPr>
              <w:t>Total Points Possible</w:t>
            </w:r>
          </w:p>
        </w:tc>
        <w:tc>
          <w:tcPr>
            <w:tcW w:w="1795" w:type="dxa"/>
            <w:tcBorders>
              <w:bottom w:val="single" w:sz="4" w:space="0" w:color="auto"/>
              <w:right w:val="single" w:sz="4" w:space="0" w:color="auto"/>
            </w:tcBorders>
            <w:shd w:val="clear" w:color="auto" w:fill="D9D9D9" w:themeFill="background1" w:themeFillShade="D9"/>
            <w:vAlign w:val="center"/>
          </w:tcPr>
          <w:p w14:paraId="0C0A9E9E" w14:textId="77777777" w:rsidR="00461135" w:rsidRPr="00E4509A" w:rsidRDefault="00461135" w:rsidP="007575B1">
            <w:pPr>
              <w:jc w:val="center"/>
              <w:rPr>
                <w:rFonts w:ascii="Arial" w:hAnsi="Arial" w:cs="Arial"/>
                <w:b/>
                <w:bCs/>
                <w:sz w:val="20"/>
                <w:szCs w:val="20"/>
              </w:rPr>
            </w:pPr>
            <w:r>
              <w:rPr>
                <w:rFonts w:ascii="Arial" w:hAnsi="Arial" w:cs="Arial"/>
                <w:b/>
                <w:bCs/>
                <w:sz w:val="20"/>
                <w:szCs w:val="20"/>
              </w:rPr>
              <w:t>Offeror’s Total Points Earned</w:t>
            </w:r>
          </w:p>
        </w:tc>
      </w:tr>
      <w:tr w:rsidR="00461135" w14:paraId="7FA61559" w14:textId="77777777" w:rsidTr="00033186">
        <w:tc>
          <w:tcPr>
            <w:tcW w:w="6565" w:type="dxa"/>
            <w:tcBorders>
              <w:left w:val="single" w:sz="4" w:space="0" w:color="auto"/>
            </w:tcBorders>
            <w:vAlign w:val="center"/>
          </w:tcPr>
          <w:p w14:paraId="0C72FC19" w14:textId="77777777" w:rsidR="00461135" w:rsidRDefault="00461135" w:rsidP="007575B1">
            <w:pPr>
              <w:rPr>
                <w:rFonts w:ascii="Arial" w:hAnsi="Arial" w:cs="Arial"/>
                <w:sz w:val="20"/>
                <w:szCs w:val="20"/>
              </w:rPr>
            </w:pPr>
            <w:r>
              <w:rPr>
                <w:rFonts w:ascii="Arial" w:hAnsi="Arial" w:cs="Arial"/>
                <w:sz w:val="20"/>
                <w:szCs w:val="20"/>
              </w:rPr>
              <w:t>Technical Criteria Evaluation</w:t>
            </w:r>
          </w:p>
        </w:tc>
        <w:tc>
          <w:tcPr>
            <w:tcW w:w="1710" w:type="dxa"/>
            <w:vAlign w:val="center"/>
          </w:tcPr>
          <w:p w14:paraId="323E150A" w14:textId="77777777" w:rsidR="00461135" w:rsidRDefault="00461135" w:rsidP="007575B1">
            <w:pPr>
              <w:jc w:val="center"/>
              <w:rPr>
                <w:rFonts w:ascii="Arial" w:hAnsi="Arial" w:cs="Arial"/>
                <w:sz w:val="20"/>
                <w:szCs w:val="20"/>
              </w:rPr>
            </w:pPr>
            <w:r>
              <w:rPr>
                <w:rFonts w:ascii="Arial" w:hAnsi="Arial" w:cs="Arial"/>
                <w:sz w:val="20"/>
                <w:szCs w:val="20"/>
              </w:rPr>
              <w:t>750</w:t>
            </w:r>
          </w:p>
        </w:tc>
        <w:tc>
          <w:tcPr>
            <w:tcW w:w="1795" w:type="dxa"/>
            <w:tcBorders>
              <w:right w:val="single" w:sz="4" w:space="0" w:color="auto"/>
            </w:tcBorders>
            <w:vAlign w:val="center"/>
          </w:tcPr>
          <w:p w14:paraId="12B9DED4" w14:textId="77777777" w:rsidR="00461135" w:rsidRDefault="00461135" w:rsidP="007575B1">
            <w:pPr>
              <w:jc w:val="center"/>
              <w:rPr>
                <w:rFonts w:ascii="Arial" w:hAnsi="Arial" w:cs="Arial"/>
                <w:sz w:val="20"/>
                <w:szCs w:val="20"/>
              </w:rPr>
            </w:pPr>
          </w:p>
        </w:tc>
      </w:tr>
      <w:tr w:rsidR="00461135" w14:paraId="6351428C" w14:textId="77777777" w:rsidTr="00033186">
        <w:tc>
          <w:tcPr>
            <w:tcW w:w="6565" w:type="dxa"/>
            <w:tcBorders>
              <w:left w:val="single" w:sz="4" w:space="0" w:color="auto"/>
            </w:tcBorders>
            <w:vAlign w:val="center"/>
          </w:tcPr>
          <w:p w14:paraId="218DE93A" w14:textId="0D47AB0B" w:rsidR="00461135" w:rsidRDefault="00461135" w:rsidP="007575B1">
            <w:pPr>
              <w:rPr>
                <w:rFonts w:ascii="Arial" w:hAnsi="Arial" w:cs="Arial"/>
                <w:sz w:val="20"/>
                <w:szCs w:val="20"/>
              </w:rPr>
            </w:pPr>
            <w:r>
              <w:rPr>
                <w:rFonts w:ascii="Arial" w:hAnsi="Arial" w:cs="Arial"/>
                <w:sz w:val="20"/>
                <w:szCs w:val="20"/>
              </w:rPr>
              <w:t>Cost Evaluation</w:t>
            </w:r>
            <w:r w:rsidR="003B00D7">
              <w:rPr>
                <w:rFonts w:ascii="Arial" w:hAnsi="Arial" w:cs="Arial"/>
                <w:sz w:val="20"/>
                <w:szCs w:val="20"/>
              </w:rPr>
              <w:t xml:space="preserve"> (</w:t>
            </w:r>
            <w:r w:rsidR="003B00D7" w:rsidRPr="00CD3DB7">
              <w:rPr>
                <w:rFonts w:ascii="Arial" w:hAnsi="Arial" w:cs="Arial"/>
                <w:sz w:val="20"/>
                <w:szCs w:val="20"/>
              </w:rPr>
              <w:t>Non-Market Basket</w:t>
            </w:r>
            <w:r w:rsidR="00931C47">
              <w:rPr>
                <w:rFonts w:ascii="Arial" w:hAnsi="Arial" w:cs="Arial"/>
                <w:sz w:val="20"/>
                <w:szCs w:val="20"/>
              </w:rPr>
              <w:t>)</w:t>
            </w:r>
            <w:r w:rsidR="003B00D7">
              <w:rPr>
                <w:rFonts w:ascii="Arial" w:hAnsi="Arial" w:cs="Arial"/>
                <w:sz w:val="20"/>
                <w:szCs w:val="20"/>
              </w:rPr>
              <w:t xml:space="preserve"> (not including Helmets &amp; Shields)</w:t>
            </w:r>
          </w:p>
        </w:tc>
        <w:tc>
          <w:tcPr>
            <w:tcW w:w="1710" w:type="dxa"/>
            <w:vAlign w:val="center"/>
          </w:tcPr>
          <w:p w14:paraId="5C390D24" w14:textId="77777777" w:rsidR="00461135" w:rsidRDefault="00461135" w:rsidP="007575B1">
            <w:pPr>
              <w:jc w:val="center"/>
              <w:rPr>
                <w:rFonts w:ascii="Arial" w:hAnsi="Arial" w:cs="Arial"/>
                <w:sz w:val="20"/>
                <w:szCs w:val="20"/>
              </w:rPr>
            </w:pPr>
            <w:r>
              <w:rPr>
                <w:rFonts w:ascii="Arial" w:hAnsi="Arial" w:cs="Arial"/>
                <w:sz w:val="20"/>
                <w:szCs w:val="20"/>
              </w:rPr>
              <w:t>250</w:t>
            </w:r>
          </w:p>
        </w:tc>
        <w:tc>
          <w:tcPr>
            <w:tcW w:w="1795" w:type="dxa"/>
            <w:tcBorders>
              <w:right w:val="single" w:sz="4" w:space="0" w:color="auto"/>
            </w:tcBorders>
            <w:vAlign w:val="center"/>
          </w:tcPr>
          <w:p w14:paraId="13BA0B54" w14:textId="77777777" w:rsidR="00461135" w:rsidRDefault="00461135" w:rsidP="007575B1">
            <w:pPr>
              <w:jc w:val="center"/>
              <w:rPr>
                <w:rFonts w:ascii="Arial" w:hAnsi="Arial" w:cs="Arial"/>
                <w:sz w:val="20"/>
                <w:szCs w:val="20"/>
              </w:rPr>
            </w:pPr>
          </w:p>
        </w:tc>
      </w:tr>
      <w:tr w:rsidR="00461135" w14:paraId="1EC6BE55" w14:textId="77777777" w:rsidTr="00033186">
        <w:tc>
          <w:tcPr>
            <w:tcW w:w="6565" w:type="dxa"/>
            <w:tcBorders>
              <w:left w:val="nil"/>
              <w:bottom w:val="nil"/>
              <w:right w:val="single" w:sz="4" w:space="0" w:color="auto"/>
            </w:tcBorders>
            <w:vAlign w:val="center"/>
          </w:tcPr>
          <w:p w14:paraId="3F72D511" w14:textId="77777777" w:rsidR="00461135" w:rsidRPr="00D11F85" w:rsidRDefault="00461135" w:rsidP="007575B1">
            <w:pPr>
              <w:jc w:val="right"/>
              <w:rPr>
                <w:rFonts w:ascii="Arial" w:hAnsi="Arial" w:cs="Arial"/>
                <w:b/>
                <w:bCs/>
                <w:sz w:val="20"/>
                <w:szCs w:val="20"/>
              </w:rPr>
            </w:pPr>
            <w:r>
              <w:rPr>
                <w:rFonts w:ascii="Arial" w:hAnsi="Arial" w:cs="Arial"/>
                <w:b/>
                <w:bCs/>
                <w:sz w:val="20"/>
                <w:szCs w:val="20"/>
              </w:rPr>
              <w:t>Total:</w:t>
            </w:r>
          </w:p>
        </w:tc>
        <w:tc>
          <w:tcPr>
            <w:tcW w:w="1710" w:type="dxa"/>
            <w:tcBorders>
              <w:left w:val="single" w:sz="4" w:space="0" w:color="auto"/>
              <w:bottom w:val="single" w:sz="4" w:space="0" w:color="auto"/>
              <w:right w:val="single" w:sz="4" w:space="0" w:color="auto"/>
            </w:tcBorders>
            <w:vAlign w:val="center"/>
          </w:tcPr>
          <w:p w14:paraId="3364CFB5" w14:textId="77777777" w:rsidR="00461135" w:rsidRPr="00D11F85" w:rsidRDefault="00461135" w:rsidP="007575B1">
            <w:pPr>
              <w:jc w:val="center"/>
              <w:rPr>
                <w:rFonts w:ascii="Arial" w:hAnsi="Arial" w:cs="Arial"/>
                <w:b/>
                <w:bCs/>
                <w:sz w:val="20"/>
                <w:szCs w:val="20"/>
              </w:rPr>
            </w:pPr>
            <w:r>
              <w:rPr>
                <w:rFonts w:ascii="Arial" w:hAnsi="Arial" w:cs="Arial"/>
                <w:b/>
                <w:bCs/>
                <w:sz w:val="20"/>
                <w:szCs w:val="20"/>
              </w:rPr>
              <w:t>1000</w:t>
            </w:r>
          </w:p>
        </w:tc>
        <w:tc>
          <w:tcPr>
            <w:tcW w:w="1795" w:type="dxa"/>
            <w:tcBorders>
              <w:left w:val="single" w:sz="4" w:space="0" w:color="auto"/>
              <w:bottom w:val="single" w:sz="4" w:space="0" w:color="auto"/>
              <w:right w:val="single" w:sz="4" w:space="0" w:color="auto"/>
            </w:tcBorders>
            <w:vAlign w:val="center"/>
          </w:tcPr>
          <w:p w14:paraId="3D812720" w14:textId="77777777" w:rsidR="00461135" w:rsidRPr="001776C8" w:rsidRDefault="00461135" w:rsidP="007575B1">
            <w:pPr>
              <w:jc w:val="center"/>
              <w:rPr>
                <w:rFonts w:ascii="Arial" w:hAnsi="Arial" w:cs="Arial"/>
                <w:b/>
                <w:bCs/>
                <w:sz w:val="20"/>
                <w:szCs w:val="20"/>
              </w:rPr>
            </w:pPr>
          </w:p>
        </w:tc>
      </w:tr>
    </w:tbl>
    <w:p w14:paraId="544A96BD" w14:textId="77777777" w:rsidR="00AC6484" w:rsidRDefault="00AC6484" w:rsidP="00BB358C">
      <w:pPr>
        <w:rPr>
          <w:rFonts w:ascii="Arial" w:hAnsi="Arial" w:cs="Arial"/>
          <w:b/>
          <w:bCs/>
          <w:sz w:val="20"/>
          <w:szCs w:val="20"/>
          <w:u w:val="single"/>
        </w:rPr>
      </w:pPr>
    </w:p>
    <w:p w14:paraId="3B0095FB" w14:textId="77777777" w:rsidR="00851BD3" w:rsidRDefault="00851BD3" w:rsidP="00BB358C">
      <w:pPr>
        <w:rPr>
          <w:rFonts w:ascii="Arial" w:hAnsi="Arial" w:cs="Arial"/>
          <w:b/>
          <w:bCs/>
          <w:sz w:val="20"/>
          <w:szCs w:val="20"/>
          <w:u w:val="single"/>
        </w:rPr>
      </w:pPr>
    </w:p>
    <w:p w14:paraId="2A8FFB4B" w14:textId="6F8ECC90" w:rsidR="00BB358C" w:rsidRPr="001776C8" w:rsidRDefault="00C43281" w:rsidP="00BB358C">
      <w:pPr>
        <w:rPr>
          <w:rFonts w:ascii="Arial" w:hAnsi="Arial" w:cs="Arial"/>
          <w:b/>
          <w:bCs/>
          <w:sz w:val="20"/>
          <w:szCs w:val="20"/>
          <w:u w:val="single"/>
        </w:rPr>
      </w:pPr>
      <w:r>
        <w:rPr>
          <w:rFonts w:ascii="Arial" w:hAnsi="Arial" w:cs="Arial"/>
          <w:b/>
          <w:bCs/>
          <w:sz w:val="20"/>
          <w:szCs w:val="20"/>
          <w:u w:val="single"/>
        </w:rPr>
        <w:lastRenderedPageBreak/>
        <w:t>Award Selection</w:t>
      </w:r>
    </w:p>
    <w:p w14:paraId="471A76BF" w14:textId="30EA5D81" w:rsidR="00791606" w:rsidRPr="000D362F" w:rsidRDefault="00791606" w:rsidP="00791606">
      <w:pPr>
        <w:rPr>
          <w:rFonts w:ascii="Arial" w:hAnsi="Arial" w:cs="Arial"/>
          <w:sz w:val="20"/>
          <w:szCs w:val="20"/>
        </w:rPr>
      </w:pPr>
      <w:r w:rsidRPr="000D362F">
        <w:rPr>
          <w:rFonts w:ascii="Arial" w:hAnsi="Arial" w:cs="Arial"/>
          <w:sz w:val="20"/>
          <w:szCs w:val="20"/>
        </w:rPr>
        <w:t>The Lead State and Multistate Sourcing Team will determine which proposals are most advantageous to the Lead State and potential Participating Entities and Purchasing Entities. Methods used to make this determination may include, but are not limited to, one or more of the following:</w:t>
      </w:r>
    </w:p>
    <w:p w14:paraId="5D4A4A30" w14:textId="77777777" w:rsidR="00791606" w:rsidRPr="000D362F" w:rsidRDefault="00791606" w:rsidP="00791606">
      <w:pPr>
        <w:pStyle w:val="ListParagraph"/>
        <w:numPr>
          <w:ilvl w:val="0"/>
          <w:numId w:val="7"/>
        </w:numPr>
        <w:spacing w:after="240"/>
        <w:rPr>
          <w:rFonts w:ascii="Arial" w:hAnsi="Arial" w:cs="Arial"/>
          <w:sz w:val="20"/>
          <w:szCs w:val="20"/>
        </w:rPr>
      </w:pPr>
      <w:r w:rsidRPr="000D362F">
        <w:rPr>
          <w:rFonts w:ascii="Arial" w:hAnsi="Arial" w:cs="Arial"/>
          <w:sz w:val="20"/>
          <w:szCs w:val="20"/>
        </w:rPr>
        <w:t>Identification of a natural break in total scores</w:t>
      </w:r>
    </w:p>
    <w:p w14:paraId="2FE569FA" w14:textId="059D5E36" w:rsidR="00724704" w:rsidRPr="000D362F" w:rsidRDefault="00791606" w:rsidP="00791606">
      <w:pPr>
        <w:pStyle w:val="ListParagraph"/>
        <w:numPr>
          <w:ilvl w:val="0"/>
          <w:numId w:val="7"/>
        </w:numPr>
        <w:spacing w:after="240"/>
        <w:rPr>
          <w:rFonts w:ascii="Arial" w:hAnsi="Arial" w:cs="Arial"/>
          <w:sz w:val="20"/>
          <w:szCs w:val="20"/>
        </w:rPr>
      </w:pPr>
      <w:r w:rsidRPr="000D362F">
        <w:rPr>
          <w:rFonts w:ascii="Arial" w:hAnsi="Arial" w:cs="Arial"/>
          <w:sz w:val="20"/>
          <w:szCs w:val="20"/>
        </w:rPr>
        <w:t>Consideration of the optimal number of Contractors required to successfully supply Deliverables to Participating Entities and Purchasing Entities</w:t>
      </w:r>
    </w:p>
    <w:p w14:paraId="22CAF030" w14:textId="3BA1B31F" w:rsidR="00173F59" w:rsidRDefault="00173F59" w:rsidP="00173F59">
      <w:pPr>
        <w:rPr>
          <w:rFonts w:ascii="Arial" w:hAnsi="Arial" w:cs="Arial"/>
          <w:sz w:val="20"/>
          <w:szCs w:val="20"/>
        </w:rPr>
      </w:pPr>
      <w:r w:rsidRPr="00173F59">
        <w:rPr>
          <w:rFonts w:ascii="Arial" w:hAnsi="Arial" w:cs="Arial"/>
          <w:sz w:val="20"/>
          <w:szCs w:val="20"/>
        </w:rPr>
        <w:t>Prior to announcement of awards and execution of Master Agreements, the Lead State will present an award recommendation to NASPO ValuePoint for approval of the proposed awards.</w:t>
      </w:r>
    </w:p>
    <w:p w14:paraId="71AF0068" w14:textId="5550EF0E" w:rsidR="00173F59" w:rsidRPr="00E4509A" w:rsidRDefault="00173F59" w:rsidP="00724704">
      <w:pPr>
        <w:rPr>
          <w:rFonts w:ascii="Arial" w:hAnsi="Arial" w:cs="Arial"/>
          <w:sz w:val="20"/>
          <w:szCs w:val="20"/>
        </w:rPr>
      </w:pPr>
      <w:r w:rsidRPr="00173F59">
        <w:rPr>
          <w:rFonts w:ascii="Arial" w:hAnsi="Arial" w:cs="Arial"/>
          <w:sz w:val="20"/>
          <w:szCs w:val="20"/>
        </w:rPr>
        <w:t xml:space="preserve">Following approval of NASPO </w:t>
      </w:r>
      <w:r w:rsidR="000C59A6">
        <w:rPr>
          <w:rFonts w:ascii="Arial" w:hAnsi="Arial" w:cs="Arial"/>
          <w:sz w:val="20"/>
          <w:szCs w:val="20"/>
        </w:rPr>
        <w:t>Value</w:t>
      </w:r>
      <w:r w:rsidR="000C59A6" w:rsidRPr="00E74106">
        <w:rPr>
          <w:rFonts w:ascii="Arial" w:hAnsi="Arial" w:cs="Arial"/>
          <w:sz w:val="20"/>
          <w:szCs w:val="20"/>
        </w:rPr>
        <w:t xml:space="preserve">Point and </w:t>
      </w:r>
      <w:r w:rsidR="00D600FE" w:rsidRPr="00E74106">
        <w:rPr>
          <w:rFonts w:ascii="Arial" w:hAnsi="Arial" w:cs="Arial"/>
          <w:sz w:val="20"/>
          <w:szCs w:val="20"/>
        </w:rPr>
        <w:t>the</w:t>
      </w:r>
      <w:r w:rsidR="000C59A6" w:rsidRPr="00E74106">
        <w:rPr>
          <w:rFonts w:ascii="Arial" w:hAnsi="Arial" w:cs="Arial"/>
          <w:sz w:val="20"/>
          <w:szCs w:val="20"/>
        </w:rPr>
        <w:t xml:space="preserve"> </w:t>
      </w:r>
      <w:r w:rsidR="007509F2" w:rsidRPr="00E74106">
        <w:rPr>
          <w:rFonts w:ascii="Arial" w:hAnsi="Arial" w:cs="Arial"/>
          <w:sz w:val="20"/>
          <w:szCs w:val="20"/>
        </w:rPr>
        <w:t xml:space="preserve">approvals required by the </w:t>
      </w:r>
      <w:r w:rsidR="000C59A6" w:rsidRPr="00E74106">
        <w:rPr>
          <w:rFonts w:ascii="Arial" w:hAnsi="Arial" w:cs="Arial"/>
          <w:sz w:val="20"/>
          <w:szCs w:val="20"/>
        </w:rPr>
        <w:t>Lead Stat</w:t>
      </w:r>
      <w:r w:rsidR="007509F2" w:rsidRPr="00E74106">
        <w:rPr>
          <w:rFonts w:ascii="Arial" w:hAnsi="Arial" w:cs="Arial"/>
          <w:sz w:val="20"/>
          <w:szCs w:val="20"/>
        </w:rPr>
        <w:t>e</w:t>
      </w:r>
      <w:r w:rsidRPr="00E74106">
        <w:rPr>
          <w:rFonts w:ascii="Arial" w:hAnsi="Arial" w:cs="Arial"/>
          <w:sz w:val="20"/>
          <w:szCs w:val="20"/>
        </w:rPr>
        <w:t xml:space="preserve">, </w:t>
      </w:r>
      <w:r w:rsidR="00E74106" w:rsidRPr="00E74106">
        <w:rPr>
          <w:rFonts w:ascii="Arial" w:hAnsi="Arial" w:cs="Arial"/>
          <w:sz w:val="20"/>
          <w:szCs w:val="20"/>
        </w:rPr>
        <w:t xml:space="preserve">the Lead State will </w:t>
      </w:r>
      <w:r w:rsidRPr="00E74106">
        <w:rPr>
          <w:rFonts w:ascii="Arial" w:hAnsi="Arial" w:cs="Arial"/>
          <w:sz w:val="20"/>
          <w:szCs w:val="20"/>
        </w:rPr>
        <w:t>post a public notice of intent to award</w:t>
      </w:r>
      <w:r w:rsidR="00E74106" w:rsidRPr="00E74106">
        <w:rPr>
          <w:rFonts w:ascii="Arial" w:hAnsi="Arial" w:cs="Arial"/>
          <w:sz w:val="20"/>
          <w:szCs w:val="20"/>
        </w:rPr>
        <w:t xml:space="preserve"> and </w:t>
      </w:r>
      <w:r w:rsidRPr="00E74106">
        <w:rPr>
          <w:rFonts w:ascii="Arial" w:hAnsi="Arial" w:cs="Arial"/>
          <w:sz w:val="20"/>
          <w:szCs w:val="20"/>
        </w:rPr>
        <w:t>begin negotiations with successful Offerors</w:t>
      </w:r>
      <w:r w:rsidR="00CE0306">
        <w:rPr>
          <w:rFonts w:ascii="Arial" w:hAnsi="Arial" w:cs="Arial"/>
          <w:sz w:val="20"/>
          <w:szCs w:val="20"/>
        </w:rPr>
        <w:t xml:space="preserve"> after the conclusion of the Protest Period</w:t>
      </w:r>
      <w:r w:rsidR="00E74106" w:rsidRPr="00E74106">
        <w:rPr>
          <w:rFonts w:ascii="Arial" w:hAnsi="Arial" w:cs="Arial"/>
          <w:sz w:val="20"/>
          <w:szCs w:val="20"/>
        </w:rPr>
        <w:t>.</w:t>
      </w:r>
    </w:p>
    <w:sectPr w:rsidR="00173F59" w:rsidRPr="00E4509A" w:rsidSect="00D130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558F2" w14:textId="77777777" w:rsidR="004620D4" w:rsidRDefault="004620D4" w:rsidP="007922CE">
      <w:pPr>
        <w:spacing w:after="0" w:line="240" w:lineRule="auto"/>
      </w:pPr>
      <w:r>
        <w:separator/>
      </w:r>
    </w:p>
  </w:endnote>
  <w:endnote w:type="continuationSeparator" w:id="0">
    <w:p w14:paraId="5DFBFE57" w14:textId="77777777" w:rsidR="004620D4" w:rsidRDefault="004620D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2D8D9" w14:textId="77777777" w:rsidR="007A68DE" w:rsidRDefault="007A6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58D2C260" w14:textId="5DE8B616" w:rsidR="00D1302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5CD761D">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AC567C">
              <w:rPr>
                <w:rFonts w:ascii="Barlow" w:hAnsi="Barlow"/>
                <w:b/>
                <w:bCs/>
                <w:noProof/>
                <w:sz w:val="20"/>
                <w:szCs w:val="20"/>
              </w:rPr>
              <w:t>3</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AC567C">
              <w:rPr>
                <w:rFonts w:ascii="Barlow" w:hAnsi="Barlow"/>
                <w:b/>
                <w:bCs/>
                <w:noProof/>
                <w:sz w:val="20"/>
                <w:szCs w:val="20"/>
              </w:rPr>
              <w:t>4</w:t>
            </w:r>
            <w:r w:rsidRPr="00787D04">
              <w:rPr>
                <w:rFonts w:ascii="Barlow" w:hAnsi="Barlow"/>
                <w:b/>
                <w:bCs/>
                <w:sz w:val="20"/>
                <w:szCs w:val="20"/>
              </w:rPr>
              <w:fldChar w:fldCharType="end"/>
            </w:r>
          </w:p>
          <w:p w14:paraId="27737939" w14:textId="54E5F616" w:rsidR="004275A3" w:rsidRDefault="00EB1834">
            <w:pPr>
              <w:pStyle w:val="Footer"/>
            </w:pPr>
            <w:r w:rsidRPr="00693BB7">
              <w:rPr>
                <w:rFonts w:ascii="Barlow" w:hAnsi="Barlow"/>
                <w:sz w:val="20"/>
                <w:szCs w:val="20"/>
              </w:rPr>
              <w:t xml:space="preserve">Attachment </w:t>
            </w:r>
            <w:r w:rsidR="00B45895">
              <w:rPr>
                <w:rFonts w:ascii="Barlow" w:hAnsi="Barlow"/>
                <w:sz w:val="20"/>
                <w:szCs w:val="20"/>
              </w:rPr>
              <w:t xml:space="preserve">C – </w:t>
            </w:r>
            <w:r w:rsidR="00724704">
              <w:rPr>
                <w:rFonts w:ascii="Barlow" w:hAnsi="Barlow"/>
                <w:sz w:val="20"/>
                <w:szCs w:val="20"/>
              </w:rPr>
              <w:t>RFP EVALUATION PLAN</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72B8" w14:textId="3C80C902" w:rsidR="00B80A75" w:rsidRDefault="00B01ECE" w:rsidP="00B80A75">
    <w:pPr>
      <w:pStyle w:val="Footer"/>
    </w:pPr>
    <w:sdt>
      <w:sdtPr>
        <w:id w:val="-1899900192"/>
        <w:docPartObj>
          <w:docPartGallery w:val="Page Numbers (Top of Page)"/>
          <w:docPartUnique/>
        </w:docPartObj>
      </w:sdtPr>
      <w:sdtEndPr/>
      <w:sdtContent>
        <w:r w:rsidR="00B80A75"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F818B" w14:textId="77777777" w:rsidR="004620D4" w:rsidRDefault="004620D4" w:rsidP="007922CE">
      <w:pPr>
        <w:spacing w:after="0" w:line="240" w:lineRule="auto"/>
      </w:pPr>
      <w:r>
        <w:separator/>
      </w:r>
    </w:p>
  </w:footnote>
  <w:footnote w:type="continuationSeparator" w:id="0">
    <w:p w14:paraId="1A4550F1" w14:textId="77777777" w:rsidR="004620D4" w:rsidRDefault="004620D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BF291" w14:textId="77777777" w:rsidR="007A68DE" w:rsidRDefault="007A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ADD6" w14:textId="77777777" w:rsidR="007A68DE" w:rsidRPr="003846FC" w:rsidRDefault="007A68DE" w:rsidP="007A68DE">
    <w:pPr>
      <w:pStyle w:val="Header"/>
      <w:tabs>
        <w:tab w:val="clear" w:pos="4680"/>
      </w:tabs>
      <w:rPr>
        <w:rStyle w:val="Strong"/>
        <w:rFonts w:ascii="Barlow" w:hAnsi="Barlow"/>
        <w:caps w:val="0"/>
        <w:sz w:val="20"/>
        <w:szCs w:val="20"/>
      </w:rPr>
    </w:pPr>
    <w:bookmarkStart w:id="1" w:name="_Hlk167084815"/>
    <w:r>
      <w:rPr>
        <w:noProof/>
      </w:rPr>
      <w:drawing>
        <wp:anchor distT="0" distB="0" distL="114300" distR="114300" simplePos="0" relativeHeight="251665408" behindDoc="1" locked="0" layoutInCell="1" allowOverlap="1" wp14:anchorId="256D4505" wp14:editId="6BFD9260">
          <wp:simplePos x="0" y="0"/>
          <wp:positionH relativeFrom="column">
            <wp:posOffset>4286250</wp:posOffset>
          </wp:positionH>
          <wp:positionV relativeFrom="paragraph">
            <wp:posOffset>8891</wp:posOffset>
          </wp:positionV>
          <wp:extent cx="2430145" cy="516010"/>
          <wp:effectExtent l="0" t="0" r="0" b="0"/>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707" cy="522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6FC">
      <w:rPr>
        <w:rStyle w:val="Strong"/>
        <w:rFonts w:ascii="Barlow" w:hAnsi="Barlow"/>
        <w:caps w:val="0"/>
        <w:sz w:val="20"/>
        <w:szCs w:val="20"/>
      </w:rPr>
      <w:t xml:space="preserve">Request for Proposals </w:t>
    </w:r>
    <w:r w:rsidRPr="003846FC">
      <w:rPr>
        <w:rStyle w:val="Strong"/>
        <w:rFonts w:ascii="Barlow" w:hAnsi="Barlow"/>
        <w:b w:val="0"/>
        <w:bCs w:val="0"/>
        <w:caps w:val="0"/>
        <w:sz w:val="20"/>
        <w:szCs w:val="20"/>
      </w:rPr>
      <w:t>for</w:t>
    </w:r>
  </w:p>
  <w:p w14:paraId="734ABCA3" w14:textId="77777777" w:rsidR="007A68DE" w:rsidRPr="003846FC" w:rsidRDefault="007A68DE" w:rsidP="007A68DE">
    <w:pPr>
      <w:spacing w:after="120" w:line="240" w:lineRule="auto"/>
      <w:rPr>
        <w:rStyle w:val="Strong"/>
        <w:rFonts w:ascii="Barlow" w:hAnsi="Barlow"/>
        <w:caps w:val="0"/>
        <w:sz w:val="20"/>
        <w:szCs w:val="20"/>
      </w:rPr>
    </w:pPr>
    <w:bookmarkStart w:id="2" w:name="_Hlk98400158"/>
    <w:r w:rsidRPr="003846FC">
      <w:rPr>
        <w:rStyle w:val="Strong"/>
        <w:rFonts w:ascii="Barlow" w:hAnsi="Barlow"/>
        <w:caps w:val="0"/>
        <w:sz w:val="20"/>
        <w:szCs w:val="20"/>
      </w:rPr>
      <w:t>Body Armor and Ballistic Resistant Products</w:t>
    </w:r>
  </w:p>
  <w:bookmarkEnd w:id="2"/>
  <w:p w14:paraId="1533A783" w14:textId="77777777" w:rsidR="007A68DE" w:rsidRPr="00B95CD6" w:rsidRDefault="007A68DE" w:rsidP="007A68DE">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Pr>
        <w:rFonts w:ascii="Barlow" w:hAnsi="Barlow" w:cs="Arial"/>
        <w:b/>
        <w:bCs/>
        <w:color w:val="3B3838" w:themeColor="background2" w:themeShade="40"/>
        <w:sz w:val="20"/>
        <w:szCs w:val="20"/>
      </w:rPr>
      <w:t xml:space="preserve"> Colorado</w:t>
    </w:r>
  </w:p>
  <w:p w14:paraId="79AE0E73" w14:textId="77777777" w:rsidR="007A68DE" w:rsidRPr="00D228C3" w:rsidRDefault="007A68DE" w:rsidP="007A68DE">
    <w:pPr>
      <w:spacing w:line="240" w:lineRule="auto"/>
      <w:contextualSpacing/>
      <w:rPr>
        <w:rFonts w:ascii="Barlow" w:hAnsi="Barlow" w:cs="Arial"/>
        <w:b/>
        <w:bCs/>
        <w:sz w:val="20"/>
        <w:szCs w:val="20"/>
      </w:rPr>
    </w:pPr>
    <w:r w:rsidRPr="00B95CD6">
      <w:rPr>
        <w:rFonts w:ascii="Barlow" w:hAnsi="Barlow" w:cs="Arial"/>
        <w:b/>
        <w:bCs/>
        <w:color w:val="3B3838" w:themeColor="background2" w:themeShade="40"/>
        <w:sz w:val="20"/>
        <w:szCs w:val="20"/>
      </w:rPr>
      <w:t xml:space="preserve">Solicitation </w:t>
    </w:r>
    <w:r w:rsidRPr="00D228C3">
      <w:rPr>
        <w:rFonts w:ascii="Barlow" w:hAnsi="Barlow" w:cs="Arial"/>
        <w:b/>
        <w:bCs/>
        <w:sz w:val="20"/>
        <w:szCs w:val="20"/>
      </w:rPr>
      <w:t>Number RFP-SPCO-AR-25-03</w:t>
    </w:r>
  </w:p>
  <w:bookmarkEnd w:id="1"/>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754A6"/>
    <w:multiLevelType w:val="hybridMultilevel"/>
    <w:tmpl w:val="8F064AB0"/>
    <w:lvl w:ilvl="0" w:tplc="48FC5124">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E5E88"/>
    <w:multiLevelType w:val="hybridMultilevel"/>
    <w:tmpl w:val="78585F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F3C64C5"/>
    <w:multiLevelType w:val="hybridMultilevel"/>
    <w:tmpl w:val="4A02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154859">
    <w:abstractNumId w:val="7"/>
  </w:num>
  <w:num w:numId="2" w16cid:durableId="8334520">
    <w:abstractNumId w:val="6"/>
  </w:num>
  <w:num w:numId="3" w16cid:durableId="53823481">
    <w:abstractNumId w:val="4"/>
  </w:num>
  <w:num w:numId="4" w16cid:durableId="1602180939">
    <w:abstractNumId w:val="2"/>
  </w:num>
  <w:num w:numId="5" w16cid:durableId="1972592974">
    <w:abstractNumId w:val="0"/>
  </w:num>
  <w:num w:numId="6" w16cid:durableId="238948382">
    <w:abstractNumId w:val="3"/>
  </w:num>
  <w:num w:numId="7" w16cid:durableId="326908020">
    <w:abstractNumId w:val="8"/>
  </w:num>
  <w:num w:numId="8" w16cid:durableId="265888642">
    <w:abstractNumId w:val="1"/>
  </w:num>
  <w:num w:numId="9" w16cid:durableId="206184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2993"/>
    <w:rsid w:val="000042BC"/>
    <w:rsid w:val="00010222"/>
    <w:rsid w:val="00011F23"/>
    <w:rsid w:val="00012ABD"/>
    <w:rsid w:val="00021CB6"/>
    <w:rsid w:val="00033186"/>
    <w:rsid w:val="00033A5B"/>
    <w:rsid w:val="000430B4"/>
    <w:rsid w:val="00043FBF"/>
    <w:rsid w:val="00046DC3"/>
    <w:rsid w:val="0005252E"/>
    <w:rsid w:val="000727FE"/>
    <w:rsid w:val="00075A60"/>
    <w:rsid w:val="0008048B"/>
    <w:rsid w:val="00083BB5"/>
    <w:rsid w:val="0009091E"/>
    <w:rsid w:val="00097466"/>
    <w:rsid w:val="000A0A53"/>
    <w:rsid w:val="000A1861"/>
    <w:rsid w:val="000A2919"/>
    <w:rsid w:val="000A47D9"/>
    <w:rsid w:val="000B115E"/>
    <w:rsid w:val="000B228A"/>
    <w:rsid w:val="000B6004"/>
    <w:rsid w:val="000B6FBB"/>
    <w:rsid w:val="000C484A"/>
    <w:rsid w:val="000C59A6"/>
    <w:rsid w:val="000C5A40"/>
    <w:rsid w:val="000D362F"/>
    <w:rsid w:val="000D6522"/>
    <w:rsid w:val="000D772C"/>
    <w:rsid w:val="000E0178"/>
    <w:rsid w:val="000E218E"/>
    <w:rsid w:val="000E27A0"/>
    <w:rsid w:val="000F1C50"/>
    <w:rsid w:val="00100669"/>
    <w:rsid w:val="0010405F"/>
    <w:rsid w:val="00110C73"/>
    <w:rsid w:val="001259AD"/>
    <w:rsid w:val="0012657E"/>
    <w:rsid w:val="00130137"/>
    <w:rsid w:val="001304AF"/>
    <w:rsid w:val="00136431"/>
    <w:rsid w:val="0014277C"/>
    <w:rsid w:val="00142CDC"/>
    <w:rsid w:val="001440DF"/>
    <w:rsid w:val="00161888"/>
    <w:rsid w:val="00164A3A"/>
    <w:rsid w:val="00167836"/>
    <w:rsid w:val="00173F59"/>
    <w:rsid w:val="00174D16"/>
    <w:rsid w:val="00175A64"/>
    <w:rsid w:val="001776C8"/>
    <w:rsid w:val="00185B6D"/>
    <w:rsid w:val="00185EA1"/>
    <w:rsid w:val="0019630C"/>
    <w:rsid w:val="00197F9F"/>
    <w:rsid w:val="001A320E"/>
    <w:rsid w:val="001A4EE9"/>
    <w:rsid w:val="001B106A"/>
    <w:rsid w:val="001B1E8E"/>
    <w:rsid w:val="001B2083"/>
    <w:rsid w:val="001B7153"/>
    <w:rsid w:val="001C1791"/>
    <w:rsid w:val="001C3314"/>
    <w:rsid w:val="001D293F"/>
    <w:rsid w:val="001D2C3F"/>
    <w:rsid w:val="001D4F26"/>
    <w:rsid w:val="001D5913"/>
    <w:rsid w:val="001E085F"/>
    <w:rsid w:val="001E1C32"/>
    <w:rsid w:val="001E265C"/>
    <w:rsid w:val="001E7F35"/>
    <w:rsid w:val="001F13C4"/>
    <w:rsid w:val="002152B5"/>
    <w:rsid w:val="002252E4"/>
    <w:rsid w:val="00233A93"/>
    <w:rsid w:val="00234AA4"/>
    <w:rsid w:val="00237657"/>
    <w:rsid w:val="00240EAE"/>
    <w:rsid w:val="00240F4F"/>
    <w:rsid w:val="00241875"/>
    <w:rsid w:val="002444F9"/>
    <w:rsid w:val="002458AD"/>
    <w:rsid w:val="00251342"/>
    <w:rsid w:val="00251478"/>
    <w:rsid w:val="00254718"/>
    <w:rsid w:val="00255196"/>
    <w:rsid w:val="002561D8"/>
    <w:rsid w:val="00261290"/>
    <w:rsid w:val="00261829"/>
    <w:rsid w:val="00262308"/>
    <w:rsid w:val="00262412"/>
    <w:rsid w:val="0026528D"/>
    <w:rsid w:val="00267660"/>
    <w:rsid w:val="0027430F"/>
    <w:rsid w:val="00274604"/>
    <w:rsid w:val="0028126B"/>
    <w:rsid w:val="00284781"/>
    <w:rsid w:val="0028480A"/>
    <w:rsid w:val="00285814"/>
    <w:rsid w:val="002863F0"/>
    <w:rsid w:val="00291175"/>
    <w:rsid w:val="002B2B6E"/>
    <w:rsid w:val="002B58F1"/>
    <w:rsid w:val="002C10C0"/>
    <w:rsid w:val="002C120D"/>
    <w:rsid w:val="002C14EA"/>
    <w:rsid w:val="002C2C64"/>
    <w:rsid w:val="002C3B81"/>
    <w:rsid w:val="002D0570"/>
    <w:rsid w:val="002D072A"/>
    <w:rsid w:val="002D359B"/>
    <w:rsid w:val="002E2A13"/>
    <w:rsid w:val="002E4600"/>
    <w:rsid w:val="002E50C7"/>
    <w:rsid w:val="002F3149"/>
    <w:rsid w:val="002F4671"/>
    <w:rsid w:val="002F7A38"/>
    <w:rsid w:val="003070F8"/>
    <w:rsid w:val="0031513F"/>
    <w:rsid w:val="003156D1"/>
    <w:rsid w:val="003279CB"/>
    <w:rsid w:val="0033042C"/>
    <w:rsid w:val="00332EBB"/>
    <w:rsid w:val="003442E9"/>
    <w:rsid w:val="00351874"/>
    <w:rsid w:val="00357CE5"/>
    <w:rsid w:val="00364388"/>
    <w:rsid w:val="00364E83"/>
    <w:rsid w:val="00367A50"/>
    <w:rsid w:val="0037088B"/>
    <w:rsid w:val="0037535D"/>
    <w:rsid w:val="00381748"/>
    <w:rsid w:val="0038202F"/>
    <w:rsid w:val="0038321E"/>
    <w:rsid w:val="00383FC7"/>
    <w:rsid w:val="00392CBA"/>
    <w:rsid w:val="003A634F"/>
    <w:rsid w:val="003A6EAB"/>
    <w:rsid w:val="003B00D7"/>
    <w:rsid w:val="003B6423"/>
    <w:rsid w:val="003C1A5E"/>
    <w:rsid w:val="003C362C"/>
    <w:rsid w:val="003D0A32"/>
    <w:rsid w:val="003D0CBD"/>
    <w:rsid w:val="003F5A0F"/>
    <w:rsid w:val="004026BA"/>
    <w:rsid w:val="00406B81"/>
    <w:rsid w:val="00412A1F"/>
    <w:rsid w:val="00416877"/>
    <w:rsid w:val="00422F09"/>
    <w:rsid w:val="00425D5E"/>
    <w:rsid w:val="004275A3"/>
    <w:rsid w:val="00434119"/>
    <w:rsid w:val="0043663F"/>
    <w:rsid w:val="00442EBF"/>
    <w:rsid w:val="004445A1"/>
    <w:rsid w:val="00446495"/>
    <w:rsid w:val="004546A2"/>
    <w:rsid w:val="004572D7"/>
    <w:rsid w:val="00461135"/>
    <w:rsid w:val="004620D4"/>
    <w:rsid w:val="00464C4F"/>
    <w:rsid w:val="00467EFD"/>
    <w:rsid w:val="00473092"/>
    <w:rsid w:val="0048255C"/>
    <w:rsid w:val="0048343C"/>
    <w:rsid w:val="004A2E12"/>
    <w:rsid w:val="004B0F3D"/>
    <w:rsid w:val="004B1A0C"/>
    <w:rsid w:val="004B1F84"/>
    <w:rsid w:val="004B2E53"/>
    <w:rsid w:val="004C481A"/>
    <w:rsid w:val="004D6299"/>
    <w:rsid w:val="004E2ECE"/>
    <w:rsid w:val="004E3130"/>
    <w:rsid w:val="004F1C12"/>
    <w:rsid w:val="004F38F5"/>
    <w:rsid w:val="00500559"/>
    <w:rsid w:val="00502C01"/>
    <w:rsid w:val="0051605E"/>
    <w:rsid w:val="00516063"/>
    <w:rsid w:val="005169D6"/>
    <w:rsid w:val="00523A3D"/>
    <w:rsid w:val="00525210"/>
    <w:rsid w:val="00525384"/>
    <w:rsid w:val="005370CF"/>
    <w:rsid w:val="005436BE"/>
    <w:rsid w:val="00546700"/>
    <w:rsid w:val="005512B3"/>
    <w:rsid w:val="00554244"/>
    <w:rsid w:val="00562DC6"/>
    <w:rsid w:val="005636C9"/>
    <w:rsid w:val="005739AC"/>
    <w:rsid w:val="00580FC7"/>
    <w:rsid w:val="00592BBA"/>
    <w:rsid w:val="005937C3"/>
    <w:rsid w:val="00593945"/>
    <w:rsid w:val="0059560C"/>
    <w:rsid w:val="005A6C01"/>
    <w:rsid w:val="005B4547"/>
    <w:rsid w:val="005B6FDE"/>
    <w:rsid w:val="005C06B2"/>
    <w:rsid w:val="005C147C"/>
    <w:rsid w:val="005C14B3"/>
    <w:rsid w:val="005C273A"/>
    <w:rsid w:val="005C7973"/>
    <w:rsid w:val="005E0F94"/>
    <w:rsid w:val="005E6678"/>
    <w:rsid w:val="005E72E0"/>
    <w:rsid w:val="005F2992"/>
    <w:rsid w:val="005F65A7"/>
    <w:rsid w:val="005F6643"/>
    <w:rsid w:val="005F72D9"/>
    <w:rsid w:val="006044D2"/>
    <w:rsid w:val="00605B3F"/>
    <w:rsid w:val="00606EC2"/>
    <w:rsid w:val="00615297"/>
    <w:rsid w:val="00616548"/>
    <w:rsid w:val="00634AA6"/>
    <w:rsid w:val="0063577B"/>
    <w:rsid w:val="00645A13"/>
    <w:rsid w:val="00652F12"/>
    <w:rsid w:val="00656318"/>
    <w:rsid w:val="0066046E"/>
    <w:rsid w:val="0066107E"/>
    <w:rsid w:val="0066228F"/>
    <w:rsid w:val="00673B9A"/>
    <w:rsid w:val="00685DC4"/>
    <w:rsid w:val="00692F5C"/>
    <w:rsid w:val="00693BB7"/>
    <w:rsid w:val="006A005E"/>
    <w:rsid w:val="006A34F2"/>
    <w:rsid w:val="006A6AA7"/>
    <w:rsid w:val="006B2AE2"/>
    <w:rsid w:val="006B6870"/>
    <w:rsid w:val="006C09A6"/>
    <w:rsid w:val="006C0E8D"/>
    <w:rsid w:val="006C2662"/>
    <w:rsid w:val="006C5460"/>
    <w:rsid w:val="006E085B"/>
    <w:rsid w:val="006F156C"/>
    <w:rsid w:val="006F48A7"/>
    <w:rsid w:val="006F49E7"/>
    <w:rsid w:val="006F68A3"/>
    <w:rsid w:val="00700CE7"/>
    <w:rsid w:val="00702504"/>
    <w:rsid w:val="007045F7"/>
    <w:rsid w:val="00711851"/>
    <w:rsid w:val="00714744"/>
    <w:rsid w:val="007234AC"/>
    <w:rsid w:val="00723996"/>
    <w:rsid w:val="00723C13"/>
    <w:rsid w:val="007243A4"/>
    <w:rsid w:val="00724455"/>
    <w:rsid w:val="00724704"/>
    <w:rsid w:val="00732D1A"/>
    <w:rsid w:val="007353C7"/>
    <w:rsid w:val="00740B73"/>
    <w:rsid w:val="00742BD7"/>
    <w:rsid w:val="007509F2"/>
    <w:rsid w:val="007613DF"/>
    <w:rsid w:val="00764E50"/>
    <w:rsid w:val="007668BF"/>
    <w:rsid w:val="00767107"/>
    <w:rsid w:val="0077269B"/>
    <w:rsid w:val="0077508D"/>
    <w:rsid w:val="007751C3"/>
    <w:rsid w:val="00781A21"/>
    <w:rsid w:val="00787D04"/>
    <w:rsid w:val="00791606"/>
    <w:rsid w:val="007922CE"/>
    <w:rsid w:val="007A496E"/>
    <w:rsid w:val="007A68DE"/>
    <w:rsid w:val="007B3629"/>
    <w:rsid w:val="007D0003"/>
    <w:rsid w:val="007D2B49"/>
    <w:rsid w:val="007D441B"/>
    <w:rsid w:val="007D4517"/>
    <w:rsid w:val="007D631D"/>
    <w:rsid w:val="007D722F"/>
    <w:rsid w:val="007F364C"/>
    <w:rsid w:val="00800ACD"/>
    <w:rsid w:val="0080475D"/>
    <w:rsid w:val="008069E9"/>
    <w:rsid w:val="00815723"/>
    <w:rsid w:val="00817DFE"/>
    <w:rsid w:val="00823B53"/>
    <w:rsid w:val="0082427F"/>
    <w:rsid w:val="00833CFB"/>
    <w:rsid w:val="008370B5"/>
    <w:rsid w:val="00840611"/>
    <w:rsid w:val="00851BD3"/>
    <w:rsid w:val="008542D8"/>
    <w:rsid w:val="00861890"/>
    <w:rsid w:val="00871775"/>
    <w:rsid w:val="008767E3"/>
    <w:rsid w:val="00880EC4"/>
    <w:rsid w:val="008864F5"/>
    <w:rsid w:val="00886C66"/>
    <w:rsid w:val="00893789"/>
    <w:rsid w:val="00896288"/>
    <w:rsid w:val="008A6F30"/>
    <w:rsid w:val="008A7953"/>
    <w:rsid w:val="008B3AA3"/>
    <w:rsid w:val="008B4FBF"/>
    <w:rsid w:val="008B5447"/>
    <w:rsid w:val="008C224D"/>
    <w:rsid w:val="008C59A3"/>
    <w:rsid w:val="008D1B39"/>
    <w:rsid w:val="008E08D9"/>
    <w:rsid w:val="008E186B"/>
    <w:rsid w:val="008E3712"/>
    <w:rsid w:val="008E4843"/>
    <w:rsid w:val="008F6DEF"/>
    <w:rsid w:val="008F784A"/>
    <w:rsid w:val="0090030C"/>
    <w:rsid w:val="0090369F"/>
    <w:rsid w:val="009058BC"/>
    <w:rsid w:val="00905BCB"/>
    <w:rsid w:val="00906B6B"/>
    <w:rsid w:val="0091141A"/>
    <w:rsid w:val="00931C47"/>
    <w:rsid w:val="00934DA2"/>
    <w:rsid w:val="00936D60"/>
    <w:rsid w:val="009458FC"/>
    <w:rsid w:val="00946A7D"/>
    <w:rsid w:val="00946C62"/>
    <w:rsid w:val="00947083"/>
    <w:rsid w:val="00947604"/>
    <w:rsid w:val="009515D7"/>
    <w:rsid w:val="00953003"/>
    <w:rsid w:val="00953B7D"/>
    <w:rsid w:val="00961800"/>
    <w:rsid w:val="00963683"/>
    <w:rsid w:val="00964175"/>
    <w:rsid w:val="00966D76"/>
    <w:rsid w:val="00967B86"/>
    <w:rsid w:val="00980736"/>
    <w:rsid w:val="0098263F"/>
    <w:rsid w:val="009853C3"/>
    <w:rsid w:val="00987E40"/>
    <w:rsid w:val="00991324"/>
    <w:rsid w:val="009939DC"/>
    <w:rsid w:val="0099489F"/>
    <w:rsid w:val="009963FB"/>
    <w:rsid w:val="0099780E"/>
    <w:rsid w:val="009A7F9C"/>
    <w:rsid w:val="009C0CCB"/>
    <w:rsid w:val="009C616D"/>
    <w:rsid w:val="009D2000"/>
    <w:rsid w:val="009D2C65"/>
    <w:rsid w:val="009E18FF"/>
    <w:rsid w:val="00A02292"/>
    <w:rsid w:val="00A04B01"/>
    <w:rsid w:val="00A10CDC"/>
    <w:rsid w:val="00A2074D"/>
    <w:rsid w:val="00A22874"/>
    <w:rsid w:val="00A3096B"/>
    <w:rsid w:val="00A309B6"/>
    <w:rsid w:val="00A3306B"/>
    <w:rsid w:val="00A37268"/>
    <w:rsid w:val="00A41FFF"/>
    <w:rsid w:val="00A51BEC"/>
    <w:rsid w:val="00A5462A"/>
    <w:rsid w:val="00A55728"/>
    <w:rsid w:val="00A572AE"/>
    <w:rsid w:val="00A612DB"/>
    <w:rsid w:val="00A712D0"/>
    <w:rsid w:val="00A87C38"/>
    <w:rsid w:val="00A933ED"/>
    <w:rsid w:val="00AA12AE"/>
    <w:rsid w:val="00AA1B65"/>
    <w:rsid w:val="00AA495F"/>
    <w:rsid w:val="00AB2646"/>
    <w:rsid w:val="00AB4AB2"/>
    <w:rsid w:val="00AB72F9"/>
    <w:rsid w:val="00AB7828"/>
    <w:rsid w:val="00AC567C"/>
    <w:rsid w:val="00AC6484"/>
    <w:rsid w:val="00AD168B"/>
    <w:rsid w:val="00AD6EB0"/>
    <w:rsid w:val="00AE2BCD"/>
    <w:rsid w:val="00AF71A3"/>
    <w:rsid w:val="00B01ECE"/>
    <w:rsid w:val="00B03299"/>
    <w:rsid w:val="00B11DBD"/>
    <w:rsid w:val="00B14A52"/>
    <w:rsid w:val="00B21F12"/>
    <w:rsid w:val="00B240E3"/>
    <w:rsid w:val="00B25AAB"/>
    <w:rsid w:val="00B26C91"/>
    <w:rsid w:val="00B33119"/>
    <w:rsid w:val="00B403CC"/>
    <w:rsid w:val="00B44DDF"/>
    <w:rsid w:val="00B45895"/>
    <w:rsid w:val="00B4619C"/>
    <w:rsid w:val="00B52BDD"/>
    <w:rsid w:val="00B52CEA"/>
    <w:rsid w:val="00B55378"/>
    <w:rsid w:val="00B55764"/>
    <w:rsid w:val="00B651B0"/>
    <w:rsid w:val="00B66905"/>
    <w:rsid w:val="00B67127"/>
    <w:rsid w:val="00B7092E"/>
    <w:rsid w:val="00B71C9A"/>
    <w:rsid w:val="00B74215"/>
    <w:rsid w:val="00B77720"/>
    <w:rsid w:val="00B80A75"/>
    <w:rsid w:val="00B95CD6"/>
    <w:rsid w:val="00B97686"/>
    <w:rsid w:val="00B97926"/>
    <w:rsid w:val="00BA40EB"/>
    <w:rsid w:val="00BA66B2"/>
    <w:rsid w:val="00BB1318"/>
    <w:rsid w:val="00BB358C"/>
    <w:rsid w:val="00BC05C4"/>
    <w:rsid w:val="00BC0CB2"/>
    <w:rsid w:val="00BC1E0F"/>
    <w:rsid w:val="00BC23E1"/>
    <w:rsid w:val="00BC75CE"/>
    <w:rsid w:val="00BD28E4"/>
    <w:rsid w:val="00BD48C2"/>
    <w:rsid w:val="00BE2608"/>
    <w:rsid w:val="00BE783F"/>
    <w:rsid w:val="00BE7EFA"/>
    <w:rsid w:val="00BF06D8"/>
    <w:rsid w:val="00C00FD9"/>
    <w:rsid w:val="00C01B42"/>
    <w:rsid w:val="00C045CB"/>
    <w:rsid w:val="00C10644"/>
    <w:rsid w:val="00C114E2"/>
    <w:rsid w:val="00C14839"/>
    <w:rsid w:val="00C15F40"/>
    <w:rsid w:val="00C24D58"/>
    <w:rsid w:val="00C26066"/>
    <w:rsid w:val="00C310F7"/>
    <w:rsid w:val="00C41812"/>
    <w:rsid w:val="00C42C3A"/>
    <w:rsid w:val="00C43281"/>
    <w:rsid w:val="00C43A87"/>
    <w:rsid w:val="00C53920"/>
    <w:rsid w:val="00C57294"/>
    <w:rsid w:val="00C57B0A"/>
    <w:rsid w:val="00C70F42"/>
    <w:rsid w:val="00C726B0"/>
    <w:rsid w:val="00C813D3"/>
    <w:rsid w:val="00C81482"/>
    <w:rsid w:val="00C8354A"/>
    <w:rsid w:val="00C84E51"/>
    <w:rsid w:val="00C85246"/>
    <w:rsid w:val="00C903CC"/>
    <w:rsid w:val="00C95A73"/>
    <w:rsid w:val="00CA2212"/>
    <w:rsid w:val="00CA5137"/>
    <w:rsid w:val="00CB44BC"/>
    <w:rsid w:val="00CB4B05"/>
    <w:rsid w:val="00CB52BA"/>
    <w:rsid w:val="00CB56C4"/>
    <w:rsid w:val="00CC1291"/>
    <w:rsid w:val="00CC1521"/>
    <w:rsid w:val="00CD3DB7"/>
    <w:rsid w:val="00CE0306"/>
    <w:rsid w:val="00CE0AB9"/>
    <w:rsid w:val="00CE0F99"/>
    <w:rsid w:val="00CE2019"/>
    <w:rsid w:val="00CF1B63"/>
    <w:rsid w:val="00CF3A8D"/>
    <w:rsid w:val="00CF71B8"/>
    <w:rsid w:val="00D04D26"/>
    <w:rsid w:val="00D07AB3"/>
    <w:rsid w:val="00D11D85"/>
    <w:rsid w:val="00D11F85"/>
    <w:rsid w:val="00D13024"/>
    <w:rsid w:val="00D16359"/>
    <w:rsid w:val="00D16F07"/>
    <w:rsid w:val="00D17F16"/>
    <w:rsid w:val="00D27535"/>
    <w:rsid w:val="00D40611"/>
    <w:rsid w:val="00D551C4"/>
    <w:rsid w:val="00D600FE"/>
    <w:rsid w:val="00D60B67"/>
    <w:rsid w:val="00D70803"/>
    <w:rsid w:val="00D70D4D"/>
    <w:rsid w:val="00D82A0C"/>
    <w:rsid w:val="00D838F9"/>
    <w:rsid w:val="00D86068"/>
    <w:rsid w:val="00DA23CB"/>
    <w:rsid w:val="00DA2BBA"/>
    <w:rsid w:val="00DC1E9D"/>
    <w:rsid w:val="00DC6337"/>
    <w:rsid w:val="00DD02E0"/>
    <w:rsid w:val="00DE40A7"/>
    <w:rsid w:val="00DE54A5"/>
    <w:rsid w:val="00DE65C9"/>
    <w:rsid w:val="00DE74F6"/>
    <w:rsid w:val="00DF0D97"/>
    <w:rsid w:val="00DF28E4"/>
    <w:rsid w:val="00DF29F4"/>
    <w:rsid w:val="00DF3CDC"/>
    <w:rsid w:val="00DF42D0"/>
    <w:rsid w:val="00DF7D97"/>
    <w:rsid w:val="00E012DB"/>
    <w:rsid w:val="00E05D7E"/>
    <w:rsid w:val="00E11F9B"/>
    <w:rsid w:val="00E12913"/>
    <w:rsid w:val="00E174F9"/>
    <w:rsid w:val="00E201A3"/>
    <w:rsid w:val="00E22AFE"/>
    <w:rsid w:val="00E25B45"/>
    <w:rsid w:val="00E32D14"/>
    <w:rsid w:val="00E36053"/>
    <w:rsid w:val="00E434C2"/>
    <w:rsid w:val="00E47FEA"/>
    <w:rsid w:val="00E60BFD"/>
    <w:rsid w:val="00E642C3"/>
    <w:rsid w:val="00E67D3E"/>
    <w:rsid w:val="00E734D0"/>
    <w:rsid w:val="00E74106"/>
    <w:rsid w:val="00E80785"/>
    <w:rsid w:val="00E8115E"/>
    <w:rsid w:val="00E813A8"/>
    <w:rsid w:val="00E85786"/>
    <w:rsid w:val="00E87A14"/>
    <w:rsid w:val="00E87ECD"/>
    <w:rsid w:val="00E91BF1"/>
    <w:rsid w:val="00E91C6E"/>
    <w:rsid w:val="00E946A6"/>
    <w:rsid w:val="00E953E9"/>
    <w:rsid w:val="00EA3ED4"/>
    <w:rsid w:val="00EA6EB9"/>
    <w:rsid w:val="00EB1834"/>
    <w:rsid w:val="00EB1E3A"/>
    <w:rsid w:val="00EB4F7A"/>
    <w:rsid w:val="00EC04A8"/>
    <w:rsid w:val="00EC11C7"/>
    <w:rsid w:val="00EC18BA"/>
    <w:rsid w:val="00ED33FD"/>
    <w:rsid w:val="00EE1E80"/>
    <w:rsid w:val="00EE462A"/>
    <w:rsid w:val="00EE5448"/>
    <w:rsid w:val="00EF0A69"/>
    <w:rsid w:val="00EF17BC"/>
    <w:rsid w:val="00EF3C24"/>
    <w:rsid w:val="00EF67BF"/>
    <w:rsid w:val="00EF7F65"/>
    <w:rsid w:val="00F01693"/>
    <w:rsid w:val="00F03E1F"/>
    <w:rsid w:val="00F07399"/>
    <w:rsid w:val="00F07FA8"/>
    <w:rsid w:val="00F15DA4"/>
    <w:rsid w:val="00F16894"/>
    <w:rsid w:val="00F22472"/>
    <w:rsid w:val="00F25DBF"/>
    <w:rsid w:val="00F26BE0"/>
    <w:rsid w:val="00F3548B"/>
    <w:rsid w:val="00F37F71"/>
    <w:rsid w:val="00F44A7C"/>
    <w:rsid w:val="00F50DA4"/>
    <w:rsid w:val="00F51A6C"/>
    <w:rsid w:val="00F52AFE"/>
    <w:rsid w:val="00F530C7"/>
    <w:rsid w:val="00F53349"/>
    <w:rsid w:val="00F53810"/>
    <w:rsid w:val="00F6144E"/>
    <w:rsid w:val="00F6243B"/>
    <w:rsid w:val="00F633DC"/>
    <w:rsid w:val="00F650D1"/>
    <w:rsid w:val="00F66054"/>
    <w:rsid w:val="00F75114"/>
    <w:rsid w:val="00F759F2"/>
    <w:rsid w:val="00F75C88"/>
    <w:rsid w:val="00F75E29"/>
    <w:rsid w:val="00F774D5"/>
    <w:rsid w:val="00F85A15"/>
    <w:rsid w:val="00F963E0"/>
    <w:rsid w:val="00F96554"/>
    <w:rsid w:val="00F96F2F"/>
    <w:rsid w:val="00F9741B"/>
    <w:rsid w:val="00FA101E"/>
    <w:rsid w:val="00FA2F93"/>
    <w:rsid w:val="00FA5EB2"/>
    <w:rsid w:val="00FB00B0"/>
    <w:rsid w:val="00FC4B1A"/>
    <w:rsid w:val="00FD2574"/>
    <w:rsid w:val="00FD4F69"/>
    <w:rsid w:val="00FF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931E52"/>
  <w15:docId w15:val="{E8395C53-DCD6-484B-8894-22FA1A9B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F53349"/>
    <w:pPr>
      <w:spacing w:after="0" w:line="240" w:lineRule="auto"/>
    </w:pPr>
  </w:style>
  <w:style w:type="paragraph" w:styleId="BalloonText">
    <w:name w:val="Balloon Text"/>
    <w:basedOn w:val="Normal"/>
    <w:link w:val="BalloonTextChar"/>
    <w:uiPriority w:val="99"/>
    <w:semiHidden/>
    <w:unhideWhenUsed/>
    <w:rsid w:val="003F5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18537451">
      <w:bodyDiv w:val="1"/>
      <w:marLeft w:val="0"/>
      <w:marRight w:val="0"/>
      <w:marTop w:val="0"/>
      <w:marBottom w:val="0"/>
      <w:divBdr>
        <w:top w:val="none" w:sz="0" w:space="0" w:color="auto"/>
        <w:left w:val="none" w:sz="0" w:space="0" w:color="auto"/>
        <w:bottom w:val="none" w:sz="0" w:space="0" w:color="auto"/>
        <w:right w:val="none" w:sz="0" w:space="0" w:color="auto"/>
      </w:divBdr>
      <w:divsChild>
        <w:div w:id="459881211">
          <w:marLeft w:val="0"/>
          <w:marRight w:val="0"/>
          <w:marTop w:val="0"/>
          <w:marBottom w:val="0"/>
          <w:divBdr>
            <w:top w:val="none" w:sz="0" w:space="0" w:color="auto"/>
            <w:left w:val="none" w:sz="0" w:space="0" w:color="auto"/>
            <w:bottom w:val="none" w:sz="0" w:space="0" w:color="auto"/>
            <w:right w:val="none" w:sz="0" w:space="0" w:color="auto"/>
          </w:divBdr>
        </w:div>
        <w:div w:id="860972437">
          <w:marLeft w:val="0"/>
          <w:marRight w:val="0"/>
          <w:marTop w:val="0"/>
          <w:marBottom w:val="0"/>
          <w:divBdr>
            <w:top w:val="none" w:sz="0" w:space="0" w:color="auto"/>
            <w:left w:val="none" w:sz="0" w:space="0" w:color="auto"/>
            <w:bottom w:val="none" w:sz="0" w:space="0" w:color="auto"/>
            <w:right w:val="none" w:sz="0" w:space="0" w:color="auto"/>
          </w:divBdr>
        </w:div>
        <w:div w:id="1042628833">
          <w:marLeft w:val="0"/>
          <w:marRight w:val="0"/>
          <w:marTop w:val="0"/>
          <w:marBottom w:val="0"/>
          <w:divBdr>
            <w:top w:val="none" w:sz="0" w:space="0" w:color="auto"/>
            <w:left w:val="none" w:sz="0" w:space="0" w:color="auto"/>
            <w:bottom w:val="none" w:sz="0" w:space="0" w:color="auto"/>
            <w:right w:val="none" w:sz="0" w:space="0" w:color="auto"/>
          </w:divBdr>
        </w:div>
        <w:div w:id="1278951364">
          <w:marLeft w:val="0"/>
          <w:marRight w:val="0"/>
          <w:marTop w:val="0"/>
          <w:marBottom w:val="0"/>
          <w:divBdr>
            <w:top w:val="none" w:sz="0" w:space="0" w:color="auto"/>
            <w:left w:val="none" w:sz="0" w:space="0" w:color="auto"/>
            <w:bottom w:val="none" w:sz="0" w:space="0" w:color="auto"/>
            <w:right w:val="none" w:sz="0" w:space="0" w:color="auto"/>
          </w:divBdr>
        </w:div>
        <w:div w:id="1347244871">
          <w:marLeft w:val="0"/>
          <w:marRight w:val="0"/>
          <w:marTop w:val="0"/>
          <w:marBottom w:val="0"/>
          <w:divBdr>
            <w:top w:val="none" w:sz="0" w:space="0" w:color="auto"/>
            <w:left w:val="none" w:sz="0" w:space="0" w:color="auto"/>
            <w:bottom w:val="none" w:sz="0" w:space="0" w:color="auto"/>
            <w:right w:val="none" w:sz="0" w:space="0" w:color="auto"/>
          </w:divBdr>
        </w:div>
        <w:div w:id="1361664321">
          <w:marLeft w:val="0"/>
          <w:marRight w:val="0"/>
          <w:marTop w:val="0"/>
          <w:marBottom w:val="0"/>
          <w:divBdr>
            <w:top w:val="none" w:sz="0" w:space="0" w:color="auto"/>
            <w:left w:val="none" w:sz="0" w:space="0" w:color="auto"/>
            <w:bottom w:val="none" w:sz="0" w:space="0" w:color="auto"/>
            <w:right w:val="none" w:sz="0" w:space="0" w:color="auto"/>
          </w:divBdr>
        </w:div>
        <w:div w:id="1726101101">
          <w:marLeft w:val="0"/>
          <w:marRight w:val="0"/>
          <w:marTop w:val="0"/>
          <w:marBottom w:val="0"/>
          <w:divBdr>
            <w:top w:val="none" w:sz="0" w:space="0" w:color="auto"/>
            <w:left w:val="none" w:sz="0" w:space="0" w:color="auto"/>
            <w:bottom w:val="none" w:sz="0" w:space="0" w:color="auto"/>
            <w:right w:val="none" w:sz="0" w:space="0" w:color="auto"/>
          </w:divBdr>
        </w:div>
        <w:div w:id="1880162445">
          <w:marLeft w:val="0"/>
          <w:marRight w:val="0"/>
          <w:marTop w:val="0"/>
          <w:marBottom w:val="0"/>
          <w:divBdr>
            <w:top w:val="none" w:sz="0" w:space="0" w:color="auto"/>
            <w:left w:val="none" w:sz="0" w:space="0" w:color="auto"/>
            <w:bottom w:val="none" w:sz="0" w:space="0" w:color="auto"/>
            <w:right w:val="none" w:sz="0" w:space="0" w:color="auto"/>
          </w:divBdr>
        </w:div>
        <w:div w:id="2068993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FCDB9-CF9D-448D-93E2-27E99AB3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1060</Words>
  <Characters>6190</Characters>
  <Application>Microsoft Office Word</Application>
  <DocSecurity>0</DocSecurity>
  <Lines>284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Abigail Chittenden</cp:lastModifiedBy>
  <cp:revision>4</cp:revision>
  <dcterms:created xsi:type="dcterms:W3CDTF">2024-09-19T19:57:00Z</dcterms:created>
  <dcterms:modified xsi:type="dcterms:W3CDTF">2024-09-20T14:31:00Z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d9de9c036c32fe6f14db5214a08f87c2cf55f13310ddfbfebff71b420ee663ce</vt:lpwstr>
  </property>
</Properties>
</file>