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BE39" w14:textId="77777777" w:rsidR="00BD7DFA" w:rsidRPr="00793FB4" w:rsidRDefault="008213AA" w:rsidP="00231B51">
      <w:pPr>
        <w:jc w:val="center"/>
        <w:rPr>
          <w:b/>
        </w:rPr>
      </w:pPr>
      <w:r>
        <w:rPr>
          <w:b/>
          <w:noProof/>
        </w:rPr>
        <mc:AlternateContent>
          <mc:Choice Requires="wps">
            <w:drawing>
              <wp:anchor distT="0" distB="0" distL="114300" distR="114300" simplePos="0" relativeHeight="251659264" behindDoc="0" locked="0" layoutInCell="1" allowOverlap="1" wp14:anchorId="56862A4E" wp14:editId="7411C3B5">
                <wp:simplePos x="0" y="0"/>
                <wp:positionH relativeFrom="column">
                  <wp:posOffset>-926869</wp:posOffset>
                </wp:positionH>
                <wp:positionV relativeFrom="paragraph">
                  <wp:posOffset>-919942</wp:posOffset>
                </wp:positionV>
                <wp:extent cx="7869382" cy="394855"/>
                <wp:effectExtent l="0" t="0" r="0" b="5715"/>
                <wp:wrapNone/>
                <wp:docPr id="2" name="Rectangle 2"/>
                <wp:cNvGraphicFramePr/>
                <a:graphic xmlns:a="http://schemas.openxmlformats.org/drawingml/2006/main">
                  <a:graphicData uri="http://schemas.microsoft.com/office/word/2010/wordprocessingShape">
                    <wps:wsp>
                      <wps:cNvSpPr/>
                      <wps:spPr>
                        <a:xfrm>
                          <a:off x="0" y="0"/>
                          <a:ext cx="7869382" cy="394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2100" id="Rectangle 2" o:spid="_x0000_s1026" style="position:absolute;margin-left:-73pt;margin-top:-72.45pt;width:619.6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" fillcolor="white [3212]" stroked="f" strokeweight="1pt"/>
            </w:pict>
          </mc:Fallback>
        </mc:AlternateContent>
      </w:r>
      <w:r w:rsidR="005F3FDE" w:rsidRPr="009E68AC">
        <w:rPr>
          <w:b/>
        </w:rPr>
        <w:t>REQUEST FOR PROPOSALS FOR PROFESSIONAL SERVICES</w:t>
      </w:r>
      <w:r w:rsidR="00792EC9" w:rsidRPr="009E68AC">
        <w:rPr>
          <w:b/>
        </w:rPr>
        <w:t xml:space="preserve"> </w:t>
      </w:r>
      <w:r w:rsidR="00B8558E">
        <w:rPr>
          <w:b/>
        </w:rPr>
        <w:t>(</w:t>
      </w:r>
      <w:r w:rsidR="00BC78C4">
        <w:rPr>
          <w:b/>
        </w:rPr>
        <w:t xml:space="preserve">LOCAL </w:t>
      </w:r>
      <w:r w:rsidR="000224A1">
        <w:rPr>
          <w:b/>
        </w:rPr>
        <w:t>BRANCH BANKING</w:t>
      </w:r>
      <w:r w:rsidR="00303A4E">
        <w:rPr>
          <w:b/>
        </w:rPr>
        <w:t>)</w:t>
      </w:r>
      <w:r w:rsidR="00045FFE">
        <w:rPr>
          <w:b/>
        </w:rPr>
        <w:t xml:space="preserve"> </w:t>
      </w:r>
      <w:r w:rsidR="00BD7DFA" w:rsidRPr="00793FB4">
        <w:rPr>
          <w:b/>
        </w:rPr>
        <w:t xml:space="preserve">ISSUED BY </w:t>
      </w:r>
      <w:r w:rsidR="00030634" w:rsidRPr="00793FB4">
        <w:rPr>
          <w:b/>
        </w:rPr>
        <w:t>THE</w:t>
      </w:r>
      <w:r w:rsidR="007266AE">
        <w:rPr>
          <w:b/>
        </w:rPr>
        <w:t xml:space="preserve"> </w:t>
      </w:r>
      <w:r w:rsidR="00AB53CD">
        <w:rPr>
          <w:b/>
        </w:rPr>
        <w:t>OFFICE OF THE STATE TREASURER</w:t>
      </w:r>
    </w:p>
    <w:p w14:paraId="78337F39" w14:textId="77777777" w:rsidR="00B37ABA" w:rsidRPr="005F0693" w:rsidRDefault="00B37ABA" w:rsidP="00231B51">
      <w:pPr>
        <w:jc w:val="center"/>
        <w:rPr>
          <w:b/>
        </w:rPr>
      </w:pPr>
      <w:r w:rsidRPr="00793FB4">
        <w:rPr>
          <w:b/>
        </w:rPr>
        <w:t xml:space="preserve">CONTRACT NUMBER:  </w:t>
      </w:r>
      <w:r w:rsidR="00303A4E" w:rsidRPr="00CC34E6">
        <w:rPr>
          <w:b/>
        </w:rPr>
        <w:t>TRE19202-LOCALBANKS</w:t>
      </w:r>
    </w:p>
    <w:p w14:paraId="6AA4AAD6" w14:textId="77777777" w:rsidR="005F3FDE" w:rsidRPr="00CB65AC" w:rsidRDefault="005F3FDE" w:rsidP="006809DA">
      <w:pPr>
        <w:ind w:left="360"/>
        <w:jc w:val="center"/>
        <w:rPr>
          <w:b/>
        </w:rPr>
      </w:pPr>
    </w:p>
    <w:p w14:paraId="4A3ABAC5" w14:textId="77777777" w:rsidR="005F3FDE" w:rsidRPr="00EF3D0A" w:rsidRDefault="005F3FDE" w:rsidP="006D4383">
      <w:pPr>
        <w:pStyle w:val="Heading1"/>
      </w:pPr>
      <w:r w:rsidRPr="00000373">
        <w:t>Overview</w:t>
      </w:r>
    </w:p>
    <w:p w14:paraId="4A1BE80A" w14:textId="77777777" w:rsidR="005F3FDE" w:rsidRPr="00000373" w:rsidRDefault="005F3FDE" w:rsidP="006809DA">
      <w:pPr>
        <w:ind w:left="360"/>
        <w:jc w:val="both"/>
        <w:rPr>
          <w:b/>
          <w:sz w:val="20"/>
          <w:szCs w:val="20"/>
        </w:rPr>
      </w:pPr>
    </w:p>
    <w:p w14:paraId="2BA1A49F" w14:textId="580D32F6" w:rsidR="00EA2DC6" w:rsidRDefault="007E3A7B" w:rsidP="007E3A7B">
      <w:pPr>
        <w:tabs>
          <w:tab w:val="left" w:pos="400"/>
        </w:tabs>
        <w:jc w:val="both"/>
        <w:rPr>
          <w:sz w:val="20"/>
          <w:szCs w:val="20"/>
        </w:rPr>
      </w:pPr>
      <w:r w:rsidRPr="007E3A7B">
        <w:rPr>
          <w:sz w:val="20"/>
          <w:szCs w:val="20"/>
        </w:rPr>
        <w:t>The Office of the State Treasurer (“OST”), on behalf of the Cash Management Policy Board (</w:t>
      </w:r>
      <w:r w:rsidR="006972B9">
        <w:rPr>
          <w:sz w:val="20"/>
          <w:szCs w:val="20"/>
        </w:rPr>
        <w:t xml:space="preserve">the </w:t>
      </w:r>
      <w:r w:rsidRPr="007E3A7B">
        <w:rPr>
          <w:sz w:val="20"/>
          <w:szCs w:val="20"/>
        </w:rPr>
        <w:t>“CMPB</w:t>
      </w:r>
      <w:r w:rsidR="00CC34E6">
        <w:rPr>
          <w:sz w:val="20"/>
          <w:szCs w:val="20"/>
        </w:rPr>
        <w:t>,</w:t>
      </w:r>
      <w:r w:rsidRPr="007E3A7B">
        <w:rPr>
          <w:sz w:val="20"/>
          <w:szCs w:val="20"/>
        </w:rPr>
        <w:t>”</w:t>
      </w:r>
      <w:r w:rsidR="00CC34E6">
        <w:rPr>
          <w:sz w:val="20"/>
          <w:szCs w:val="20"/>
        </w:rPr>
        <w:t xml:space="preserve"> and together with OST, the “State”</w:t>
      </w:r>
      <w:r w:rsidRPr="007E3A7B">
        <w:rPr>
          <w:sz w:val="20"/>
          <w:szCs w:val="20"/>
        </w:rPr>
        <w:t xml:space="preserve">), </w:t>
      </w:r>
      <w:r w:rsidR="00CC34E6">
        <w:rPr>
          <w:sz w:val="20"/>
          <w:szCs w:val="20"/>
        </w:rPr>
        <w:t>is</w:t>
      </w:r>
      <w:r w:rsidR="00CC34E6" w:rsidRPr="007E3A7B">
        <w:rPr>
          <w:sz w:val="20"/>
          <w:szCs w:val="20"/>
        </w:rPr>
        <w:t xml:space="preserve"> </w:t>
      </w:r>
      <w:r w:rsidRPr="007E3A7B">
        <w:rPr>
          <w:sz w:val="20"/>
          <w:szCs w:val="20"/>
        </w:rPr>
        <w:t>se</w:t>
      </w:r>
      <w:r w:rsidR="00253E85">
        <w:rPr>
          <w:sz w:val="20"/>
          <w:szCs w:val="20"/>
        </w:rPr>
        <w:t xml:space="preserve">eking proposals from qualified </w:t>
      </w:r>
      <w:r w:rsidR="00CC34E6">
        <w:rPr>
          <w:sz w:val="20"/>
          <w:szCs w:val="20"/>
        </w:rPr>
        <w:t xml:space="preserve">financial institutions </w:t>
      </w:r>
      <w:r w:rsidR="00253E85">
        <w:rPr>
          <w:sz w:val="20"/>
          <w:szCs w:val="20"/>
        </w:rPr>
        <w:t>(“Vendors”</w:t>
      </w:r>
      <w:r w:rsidRPr="007E3A7B">
        <w:rPr>
          <w:sz w:val="20"/>
          <w:szCs w:val="20"/>
        </w:rPr>
        <w:t xml:space="preserve">) interested in providing </w:t>
      </w:r>
      <w:r w:rsidR="000224A1">
        <w:rPr>
          <w:sz w:val="20"/>
          <w:szCs w:val="20"/>
        </w:rPr>
        <w:t>local branch banking</w:t>
      </w:r>
      <w:r w:rsidRPr="007E3A7B">
        <w:rPr>
          <w:sz w:val="20"/>
          <w:szCs w:val="20"/>
        </w:rPr>
        <w:t xml:space="preserve"> </w:t>
      </w:r>
      <w:r w:rsidR="006F1502">
        <w:rPr>
          <w:sz w:val="20"/>
          <w:szCs w:val="20"/>
        </w:rPr>
        <w:t xml:space="preserve">services </w:t>
      </w:r>
      <w:r w:rsidRPr="007E3A7B">
        <w:rPr>
          <w:sz w:val="20"/>
          <w:szCs w:val="20"/>
        </w:rPr>
        <w:t xml:space="preserve">to the State as detailed in </w:t>
      </w:r>
      <w:r w:rsidRPr="00C701E2">
        <w:rPr>
          <w:b/>
          <w:sz w:val="20"/>
          <w:szCs w:val="20"/>
        </w:rPr>
        <w:t>Appendix A</w:t>
      </w:r>
      <w:r w:rsidRPr="007E3A7B">
        <w:rPr>
          <w:sz w:val="20"/>
          <w:szCs w:val="20"/>
        </w:rPr>
        <w:t xml:space="preserve">. The selected Vendors collectively will manage the State’s </w:t>
      </w:r>
      <w:r w:rsidR="00BC78C4">
        <w:rPr>
          <w:sz w:val="20"/>
          <w:szCs w:val="20"/>
        </w:rPr>
        <w:t xml:space="preserve">local </w:t>
      </w:r>
      <w:r w:rsidRPr="007E3A7B">
        <w:rPr>
          <w:sz w:val="20"/>
          <w:szCs w:val="20"/>
        </w:rPr>
        <w:t xml:space="preserve">banking needs </w:t>
      </w:r>
      <w:r w:rsidR="004E3FE9" w:rsidRPr="007E3A7B">
        <w:rPr>
          <w:sz w:val="20"/>
          <w:szCs w:val="20"/>
        </w:rPr>
        <w:t xml:space="preserve">in accordance with the </w:t>
      </w:r>
      <w:r w:rsidR="00CC34E6">
        <w:rPr>
          <w:sz w:val="20"/>
          <w:szCs w:val="20"/>
        </w:rPr>
        <w:t xml:space="preserve">collateralization requirements and other </w:t>
      </w:r>
      <w:r w:rsidRPr="007E3A7B">
        <w:rPr>
          <w:sz w:val="20"/>
          <w:szCs w:val="20"/>
        </w:rPr>
        <w:t xml:space="preserve">guidelines </w:t>
      </w:r>
      <w:r w:rsidR="00CC34E6">
        <w:rPr>
          <w:sz w:val="20"/>
          <w:szCs w:val="20"/>
        </w:rPr>
        <w:t>established</w:t>
      </w:r>
      <w:r w:rsidR="00CC34E6" w:rsidRPr="007E3A7B">
        <w:rPr>
          <w:sz w:val="20"/>
          <w:szCs w:val="20"/>
        </w:rPr>
        <w:t xml:space="preserve"> </w:t>
      </w:r>
      <w:r w:rsidRPr="007E3A7B">
        <w:rPr>
          <w:sz w:val="20"/>
          <w:szCs w:val="20"/>
        </w:rPr>
        <w:t>by the CMPB.</w:t>
      </w:r>
      <w:r w:rsidR="00EB6542">
        <w:rPr>
          <w:sz w:val="20"/>
          <w:szCs w:val="20"/>
        </w:rPr>
        <w:t xml:space="preserve"> </w:t>
      </w:r>
    </w:p>
    <w:p w14:paraId="73352B32" w14:textId="77777777" w:rsidR="00EA2DC6" w:rsidRDefault="00EA2DC6" w:rsidP="007E3A7B">
      <w:pPr>
        <w:tabs>
          <w:tab w:val="left" w:pos="400"/>
        </w:tabs>
        <w:jc w:val="both"/>
        <w:rPr>
          <w:sz w:val="20"/>
          <w:szCs w:val="20"/>
        </w:rPr>
      </w:pPr>
    </w:p>
    <w:p w14:paraId="59C70949" w14:textId="77777777" w:rsidR="007E3A7B" w:rsidRPr="007E3A7B" w:rsidRDefault="007E3A7B" w:rsidP="007E3A7B">
      <w:pPr>
        <w:tabs>
          <w:tab w:val="left" w:pos="400"/>
        </w:tabs>
        <w:jc w:val="both"/>
        <w:rPr>
          <w:sz w:val="20"/>
          <w:szCs w:val="20"/>
        </w:rPr>
      </w:pPr>
      <w:r w:rsidRPr="007E3A7B">
        <w:rPr>
          <w:sz w:val="20"/>
          <w:szCs w:val="20"/>
        </w:rPr>
        <w:t xml:space="preserve">This Request for Proposal (“RFP”) is issued pursuant to 29 Del. C. §§ 6981, 6982 and 6986.  </w:t>
      </w:r>
    </w:p>
    <w:p w14:paraId="43BC138E" w14:textId="77777777" w:rsidR="007E3A7B" w:rsidRPr="007E3A7B" w:rsidRDefault="007E3A7B" w:rsidP="007E3A7B">
      <w:pPr>
        <w:tabs>
          <w:tab w:val="left" w:pos="400"/>
        </w:tabs>
        <w:jc w:val="both"/>
        <w:rPr>
          <w:sz w:val="20"/>
          <w:szCs w:val="20"/>
        </w:rPr>
      </w:pPr>
    </w:p>
    <w:p w14:paraId="214706DB" w14:textId="334A0CDE" w:rsidR="007E3A7B" w:rsidRDefault="007E3A7B" w:rsidP="007E3A7B">
      <w:pPr>
        <w:tabs>
          <w:tab w:val="left" w:pos="400"/>
        </w:tabs>
        <w:jc w:val="both"/>
        <w:rPr>
          <w:sz w:val="20"/>
          <w:szCs w:val="20"/>
        </w:rPr>
      </w:pPr>
      <w:r w:rsidRPr="007E3A7B">
        <w:rPr>
          <w:sz w:val="20"/>
          <w:szCs w:val="20"/>
        </w:rPr>
        <w:t xml:space="preserve">The State intends to </w:t>
      </w:r>
      <w:r w:rsidR="00CC34E6">
        <w:rPr>
          <w:sz w:val="20"/>
          <w:szCs w:val="20"/>
        </w:rPr>
        <w:t xml:space="preserve">select one Vendor </w:t>
      </w:r>
      <w:r w:rsidR="00E86D0D">
        <w:rPr>
          <w:sz w:val="20"/>
          <w:szCs w:val="20"/>
        </w:rPr>
        <w:t xml:space="preserve">with multiple local branches in all three counties </w:t>
      </w:r>
      <w:r w:rsidR="00CC34E6">
        <w:rPr>
          <w:sz w:val="20"/>
          <w:szCs w:val="20"/>
        </w:rPr>
        <w:t>to serve as the State’s</w:t>
      </w:r>
      <w:r w:rsidR="00D809F6">
        <w:rPr>
          <w:sz w:val="20"/>
          <w:szCs w:val="20"/>
        </w:rPr>
        <w:t xml:space="preserve"> primary</w:t>
      </w:r>
      <w:r w:rsidR="00E86D0D">
        <w:rPr>
          <w:sz w:val="20"/>
          <w:szCs w:val="20"/>
        </w:rPr>
        <w:t xml:space="preserve">, but not exclusive, </w:t>
      </w:r>
      <w:r w:rsidR="00D809F6">
        <w:rPr>
          <w:sz w:val="20"/>
          <w:szCs w:val="20"/>
        </w:rPr>
        <w:t xml:space="preserve">over-the-counter (“OTC”) collection </w:t>
      </w:r>
      <w:r w:rsidR="00CC34E6">
        <w:rPr>
          <w:sz w:val="20"/>
          <w:szCs w:val="20"/>
        </w:rPr>
        <w:t>ban</w:t>
      </w:r>
      <w:r w:rsidR="00E86D0D">
        <w:rPr>
          <w:sz w:val="20"/>
          <w:szCs w:val="20"/>
        </w:rPr>
        <w:t>k.  The State reserves the right to issue</w:t>
      </w:r>
      <w:r w:rsidR="00D809F6">
        <w:rPr>
          <w:sz w:val="20"/>
          <w:szCs w:val="20"/>
        </w:rPr>
        <w:t xml:space="preserve"> </w:t>
      </w:r>
      <w:r w:rsidR="002D21A5">
        <w:rPr>
          <w:sz w:val="20"/>
          <w:szCs w:val="20"/>
        </w:rPr>
        <w:t>multiple awards</w:t>
      </w:r>
      <w:r w:rsidR="00D809F6">
        <w:rPr>
          <w:sz w:val="20"/>
          <w:szCs w:val="20"/>
        </w:rPr>
        <w:t xml:space="preserve"> </w:t>
      </w:r>
      <w:r w:rsidR="00E86D0D">
        <w:rPr>
          <w:sz w:val="20"/>
          <w:szCs w:val="20"/>
        </w:rPr>
        <w:t xml:space="preserve">to ensure sufficient coverage for the </w:t>
      </w:r>
      <w:proofErr w:type="gramStart"/>
      <w:r w:rsidR="00E86D0D">
        <w:rPr>
          <w:sz w:val="20"/>
          <w:szCs w:val="20"/>
        </w:rPr>
        <w:t>State’s</w:t>
      </w:r>
      <w:proofErr w:type="gramEnd"/>
      <w:r w:rsidR="00E86D0D">
        <w:rPr>
          <w:sz w:val="20"/>
          <w:szCs w:val="20"/>
        </w:rPr>
        <w:t xml:space="preserve"> </w:t>
      </w:r>
      <w:r w:rsidR="00F248D2">
        <w:rPr>
          <w:sz w:val="20"/>
          <w:szCs w:val="20"/>
        </w:rPr>
        <w:t>local banking</w:t>
      </w:r>
      <w:r w:rsidR="00D809F6">
        <w:rPr>
          <w:sz w:val="20"/>
          <w:szCs w:val="20"/>
        </w:rPr>
        <w:t xml:space="preserve"> </w:t>
      </w:r>
      <w:r w:rsidR="00E86D0D">
        <w:rPr>
          <w:sz w:val="20"/>
          <w:szCs w:val="20"/>
        </w:rPr>
        <w:t>needs</w:t>
      </w:r>
      <w:r w:rsidR="00D809F6">
        <w:rPr>
          <w:sz w:val="20"/>
          <w:szCs w:val="20"/>
        </w:rPr>
        <w:t>.</w:t>
      </w:r>
    </w:p>
    <w:p w14:paraId="3CDEB1FC" w14:textId="77777777" w:rsidR="007E3A7B" w:rsidRDefault="007E3A7B" w:rsidP="00C53136">
      <w:pPr>
        <w:tabs>
          <w:tab w:val="left" w:pos="400"/>
        </w:tabs>
        <w:jc w:val="both"/>
        <w:rPr>
          <w:sz w:val="20"/>
          <w:szCs w:val="20"/>
        </w:rPr>
      </w:pPr>
    </w:p>
    <w:p w14:paraId="465EF3C0" w14:textId="77777777" w:rsidR="002D6EC6" w:rsidRPr="00F41062" w:rsidRDefault="00AA0167" w:rsidP="00F665BF">
      <w:pPr>
        <w:pStyle w:val="Heading2"/>
        <w:tabs>
          <w:tab w:val="clear" w:pos="2880"/>
        </w:tabs>
        <w:ind w:left="360"/>
      </w:pPr>
      <w:r w:rsidRPr="00F41062">
        <w:t>Timetable</w:t>
      </w:r>
    </w:p>
    <w:p w14:paraId="43B9F979" w14:textId="77777777" w:rsidR="0055549D" w:rsidRPr="00000373" w:rsidRDefault="0055549D" w:rsidP="00A87459">
      <w:pPr>
        <w:ind w:left="360"/>
        <w:jc w:val="both"/>
        <w:rPr>
          <w:sz w:val="20"/>
          <w:szCs w:val="20"/>
        </w:rPr>
      </w:pPr>
      <w:r w:rsidRPr="00000373">
        <w:rPr>
          <w:sz w:val="20"/>
          <w:szCs w:val="20"/>
        </w:rPr>
        <w:t xml:space="preserve">The </w:t>
      </w:r>
      <w:r w:rsidR="006128FB" w:rsidRPr="00000373">
        <w:rPr>
          <w:sz w:val="20"/>
          <w:szCs w:val="20"/>
        </w:rPr>
        <w:t>tentative</w:t>
      </w:r>
      <w:r w:rsidRPr="00000373">
        <w:rPr>
          <w:sz w:val="20"/>
          <w:szCs w:val="20"/>
        </w:rPr>
        <w:t xml:space="preserve"> </w:t>
      </w:r>
      <w:r w:rsidR="006128FB" w:rsidRPr="00000373">
        <w:rPr>
          <w:sz w:val="20"/>
          <w:szCs w:val="20"/>
        </w:rPr>
        <w:t>timetable for this RFP process is</w:t>
      </w:r>
      <w:r w:rsidR="00AA0167" w:rsidRPr="00000373">
        <w:rPr>
          <w:sz w:val="20"/>
          <w:szCs w:val="20"/>
        </w:rPr>
        <w:t xml:space="preserve"> as follows</w:t>
      </w:r>
      <w:r w:rsidR="006128FB" w:rsidRPr="00000373">
        <w:rPr>
          <w:sz w:val="20"/>
          <w:szCs w:val="20"/>
        </w:rPr>
        <w:t>:</w:t>
      </w:r>
    </w:p>
    <w:p w14:paraId="50A45FF0" w14:textId="77777777" w:rsidR="006128FB" w:rsidRPr="00000373" w:rsidRDefault="006128FB" w:rsidP="00793FB4">
      <w:pPr>
        <w:jc w:val="both"/>
        <w:rPr>
          <w:sz w:val="20"/>
          <w:szCs w:val="20"/>
        </w:rPr>
      </w:pPr>
      <w:r w:rsidRPr="00000373">
        <w:rPr>
          <w:sz w:val="20"/>
          <w:szCs w:val="20"/>
        </w:rPr>
        <w:tab/>
      </w:r>
    </w:p>
    <w:tbl>
      <w:tblPr>
        <w:tblStyle w:val="TableGrid"/>
        <w:tblW w:w="0" w:type="auto"/>
        <w:tblInd w:w="355" w:type="dxa"/>
        <w:tblLook w:val="04A0" w:firstRow="1" w:lastRow="0" w:firstColumn="1" w:lastColumn="0" w:noHBand="0" w:noVBand="1"/>
      </w:tblPr>
      <w:tblGrid>
        <w:gridCol w:w="6030"/>
        <w:gridCol w:w="2965"/>
      </w:tblGrid>
      <w:tr w:rsidR="006128FB" w:rsidRPr="00000373" w14:paraId="039451F7" w14:textId="77777777" w:rsidTr="00984D36">
        <w:tc>
          <w:tcPr>
            <w:tcW w:w="6030" w:type="dxa"/>
            <w:shd w:val="clear" w:color="auto" w:fill="F3F0EC" w:themeFill="accent1" w:themeFillTint="33"/>
          </w:tcPr>
          <w:p w14:paraId="4D0150E1" w14:textId="77777777" w:rsidR="006128FB" w:rsidRPr="00000373" w:rsidRDefault="006128FB" w:rsidP="006128FB">
            <w:pPr>
              <w:jc w:val="center"/>
              <w:rPr>
                <w:sz w:val="20"/>
                <w:szCs w:val="20"/>
              </w:rPr>
            </w:pPr>
            <w:r w:rsidRPr="00000373">
              <w:rPr>
                <w:sz w:val="20"/>
                <w:szCs w:val="20"/>
              </w:rPr>
              <w:t>EVENT</w:t>
            </w:r>
          </w:p>
        </w:tc>
        <w:tc>
          <w:tcPr>
            <w:tcW w:w="2965" w:type="dxa"/>
            <w:shd w:val="clear" w:color="auto" w:fill="F3F0EC" w:themeFill="accent1" w:themeFillTint="33"/>
          </w:tcPr>
          <w:p w14:paraId="4688A7A5" w14:textId="77777777" w:rsidR="006128FB" w:rsidRPr="00000373" w:rsidRDefault="006128FB" w:rsidP="006128FB">
            <w:pPr>
              <w:jc w:val="center"/>
              <w:rPr>
                <w:sz w:val="20"/>
                <w:szCs w:val="20"/>
              </w:rPr>
            </w:pPr>
            <w:r w:rsidRPr="00000373">
              <w:rPr>
                <w:sz w:val="20"/>
                <w:szCs w:val="20"/>
              </w:rPr>
              <w:t>DATE</w:t>
            </w:r>
          </w:p>
        </w:tc>
      </w:tr>
      <w:tr w:rsidR="006128FB" w:rsidRPr="00000373" w14:paraId="2446E97E" w14:textId="77777777" w:rsidTr="00984D36">
        <w:trPr>
          <w:trHeight w:val="288"/>
        </w:trPr>
        <w:tc>
          <w:tcPr>
            <w:tcW w:w="6030" w:type="dxa"/>
          </w:tcPr>
          <w:p w14:paraId="6C192F38" w14:textId="77777777" w:rsidR="006128FB" w:rsidRPr="00000373" w:rsidRDefault="006128FB" w:rsidP="00AA0167">
            <w:pPr>
              <w:jc w:val="both"/>
              <w:rPr>
                <w:sz w:val="20"/>
                <w:szCs w:val="20"/>
              </w:rPr>
            </w:pPr>
            <w:r w:rsidRPr="00000373">
              <w:rPr>
                <w:sz w:val="20"/>
                <w:szCs w:val="20"/>
              </w:rPr>
              <w:t xml:space="preserve">RFP </w:t>
            </w:r>
            <w:r w:rsidR="00AA0167" w:rsidRPr="00000373">
              <w:rPr>
                <w:sz w:val="20"/>
                <w:szCs w:val="20"/>
              </w:rPr>
              <w:t>p</w:t>
            </w:r>
            <w:r w:rsidRPr="00000373">
              <w:rPr>
                <w:sz w:val="20"/>
                <w:szCs w:val="20"/>
              </w:rPr>
              <w:t>ublished</w:t>
            </w:r>
          </w:p>
        </w:tc>
        <w:tc>
          <w:tcPr>
            <w:tcW w:w="2965" w:type="dxa"/>
          </w:tcPr>
          <w:p w14:paraId="1D3563EB" w14:textId="23CC9AF8" w:rsidR="006128FB" w:rsidRPr="00897F98" w:rsidRDefault="00E7250D" w:rsidP="00665710">
            <w:pPr>
              <w:jc w:val="both"/>
              <w:rPr>
                <w:sz w:val="20"/>
                <w:szCs w:val="20"/>
              </w:rPr>
            </w:pPr>
            <w:r>
              <w:rPr>
                <w:sz w:val="20"/>
                <w:szCs w:val="20"/>
              </w:rPr>
              <w:t>March 8</w:t>
            </w:r>
            <w:r w:rsidR="000622E3" w:rsidRPr="00CC34E6">
              <w:rPr>
                <w:sz w:val="20"/>
                <w:szCs w:val="20"/>
              </w:rPr>
              <w:t>, 2019</w:t>
            </w:r>
          </w:p>
        </w:tc>
      </w:tr>
      <w:tr w:rsidR="00BC78C4" w:rsidRPr="00000373" w14:paraId="0E442186" w14:textId="77777777" w:rsidTr="00984D36">
        <w:trPr>
          <w:trHeight w:val="288"/>
        </w:trPr>
        <w:tc>
          <w:tcPr>
            <w:tcW w:w="6030" w:type="dxa"/>
          </w:tcPr>
          <w:p w14:paraId="4F784650" w14:textId="77777777" w:rsidR="00BC78C4" w:rsidRPr="00000373" w:rsidRDefault="00BC78C4" w:rsidP="00BC78C4">
            <w:pPr>
              <w:jc w:val="both"/>
              <w:rPr>
                <w:sz w:val="20"/>
                <w:szCs w:val="20"/>
              </w:rPr>
            </w:pPr>
            <w:r w:rsidRPr="00000373">
              <w:rPr>
                <w:sz w:val="20"/>
                <w:szCs w:val="20"/>
              </w:rPr>
              <w:t>Notice of Intent to Respond due</w:t>
            </w:r>
          </w:p>
        </w:tc>
        <w:tc>
          <w:tcPr>
            <w:tcW w:w="2965" w:type="dxa"/>
          </w:tcPr>
          <w:p w14:paraId="542E4619" w14:textId="7CB8DBAD" w:rsidR="00BC78C4" w:rsidRPr="00897F98" w:rsidRDefault="000622E3" w:rsidP="00BC78C4">
            <w:pPr>
              <w:jc w:val="both"/>
              <w:rPr>
                <w:sz w:val="20"/>
                <w:szCs w:val="20"/>
              </w:rPr>
            </w:pPr>
            <w:r>
              <w:rPr>
                <w:sz w:val="20"/>
                <w:szCs w:val="20"/>
              </w:rPr>
              <w:t>March 1</w:t>
            </w:r>
            <w:r w:rsidR="00E7250D">
              <w:rPr>
                <w:sz w:val="20"/>
                <w:szCs w:val="20"/>
              </w:rPr>
              <w:t>5</w:t>
            </w:r>
            <w:r>
              <w:rPr>
                <w:sz w:val="20"/>
                <w:szCs w:val="20"/>
              </w:rPr>
              <w:t>, 2019</w:t>
            </w:r>
          </w:p>
        </w:tc>
      </w:tr>
      <w:tr w:rsidR="00BC78C4" w:rsidRPr="00000373" w14:paraId="1A40F632" w14:textId="77777777" w:rsidTr="00984D36">
        <w:trPr>
          <w:trHeight w:val="288"/>
        </w:trPr>
        <w:tc>
          <w:tcPr>
            <w:tcW w:w="6030" w:type="dxa"/>
          </w:tcPr>
          <w:p w14:paraId="66C6CF7E" w14:textId="77777777" w:rsidR="00BC78C4" w:rsidRPr="00000373" w:rsidRDefault="00BC78C4" w:rsidP="00BC78C4">
            <w:pPr>
              <w:jc w:val="both"/>
              <w:rPr>
                <w:sz w:val="20"/>
                <w:szCs w:val="20"/>
              </w:rPr>
            </w:pPr>
            <w:r w:rsidRPr="00000373">
              <w:rPr>
                <w:sz w:val="20"/>
                <w:szCs w:val="20"/>
              </w:rPr>
              <w:t>Deadline for Vendor questions</w:t>
            </w:r>
          </w:p>
        </w:tc>
        <w:tc>
          <w:tcPr>
            <w:tcW w:w="2965" w:type="dxa"/>
          </w:tcPr>
          <w:p w14:paraId="74130F5A" w14:textId="653EF508" w:rsidR="00BC78C4" w:rsidRPr="00897F98" w:rsidRDefault="000622E3" w:rsidP="00BC78C4">
            <w:pPr>
              <w:jc w:val="both"/>
              <w:rPr>
                <w:sz w:val="20"/>
                <w:szCs w:val="20"/>
              </w:rPr>
            </w:pPr>
            <w:r>
              <w:rPr>
                <w:sz w:val="20"/>
                <w:szCs w:val="20"/>
              </w:rPr>
              <w:t>March 1</w:t>
            </w:r>
            <w:r w:rsidR="00E7250D">
              <w:rPr>
                <w:sz w:val="20"/>
                <w:szCs w:val="20"/>
              </w:rPr>
              <w:t>5</w:t>
            </w:r>
            <w:r>
              <w:rPr>
                <w:sz w:val="20"/>
                <w:szCs w:val="20"/>
              </w:rPr>
              <w:t>, 2019</w:t>
            </w:r>
          </w:p>
        </w:tc>
      </w:tr>
      <w:tr w:rsidR="00BC78C4" w:rsidRPr="00000373" w14:paraId="1AC05605" w14:textId="77777777" w:rsidTr="00984D36">
        <w:trPr>
          <w:trHeight w:val="288"/>
        </w:trPr>
        <w:tc>
          <w:tcPr>
            <w:tcW w:w="6030" w:type="dxa"/>
          </w:tcPr>
          <w:p w14:paraId="49319170" w14:textId="77777777" w:rsidR="00BC78C4" w:rsidRPr="00000373" w:rsidRDefault="00BC78C4" w:rsidP="00BC78C4">
            <w:pPr>
              <w:jc w:val="both"/>
              <w:rPr>
                <w:sz w:val="20"/>
                <w:szCs w:val="20"/>
              </w:rPr>
            </w:pPr>
            <w:r w:rsidRPr="00000373">
              <w:rPr>
                <w:sz w:val="20"/>
                <w:szCs w:val="20"/>
              </w:rPr>
              <w:t xml:space="preserve">Deadline for State responses – Q&amp;A closed </w:t>
            </w:r>
            <w:r>
              <w:rPr>
                <w:sz w:val="20"/>
                <w:szCs w:val="20"/>
              </w:rPr>
              <w:t>&amp; Published</w:t>
            </w:r>
          </w:p>
        </w:tc>
        <w:tc>
          <w:tcPr>
            <w:tcW w:w="2965" w:type="dxa"/>
          </w:tcPr>
          <w:p w14:paraId="0DA55526" w14:textId="3AB5FB06" w:rsidR="00BC78C4" w:rsidRPr="00897F98" w:rsidRDefault="000622E3" w:rsidP="00511725">
            <w:pPr>
              <w:jc w:val="both"/>
              <w:rPr>
                <w:sz w:val="20"/>
                <w:szCs w:val="20"/>
              </w:rPr>
            </w:pPr>
            <w:r>
              <w:rPr>
                <w:sz w:val="20"/>
                <w:szCs w:val="20"/>
              </w:rPr>
              <w:t>M</w:t>
            </w:r>
            <w:r w:rsidR="009108DC">
              <w:rPr>
                <w:sz w:val="20"/>
                <w:szCs w:val="20"/>
              </w:rPr>
              <w:t>arch 2</w:t>
            </w:r>
            <w:r w:rsidR="00E7250D">
              <w:rPr>
                <w:sz w:val="20"/>
                <w:szCs w:val="20"/>
              </w:rPr>
              <w:t>2</w:t>
            </w:r>
            <w:r>
              <w:rPr>
                <w:sz w:val="20"/>
                <w:szCs w:val="20"/>
              </w:rPr>
              <w:t>, 2019</w:t>
            </w:r>
          </w:p>
        </w:tc>
      </w:tr>
      <w:tr w:rsidR="00BC78C4" w:rsidRPr="00000373" w14:paraId="14C8A597" w14:textId="77777777" w:rsidTr="00984D36">
        <w:trPr>
          <w:trHeight w:val="288"/>
        </w:trPr>
        <w:tc>
          <w:tcPr>
            <w:tcW w:w="6030" w:type="dxa"/>
          </w:tcPr>
          <w:p w14:paraId="5FB0AEAB" w14:textId="77777777" w:rsidR="00BC78C4" w:rsidRPr="00000373" w:rsidRDefault="00BC78C4" w:rsidP="00BC78C4">
            <w:pPr>
              <w:jc w:val="both"/>
              <w:rPr>
                <w:sz w:val="20"/>
                <w:szCs w:val="20"/>
              </w:rPr>
            </w:pPr>
            <w:r w:rsidRPr="00000373">
              <w:rPr>
                <w:sz w:val="20"/>
                <w:szCs w:val="20"/>
              </w:rPr>
              <w:t>Deadline for Vendor proposal submission</w:t>
            </w:r>
          </w:p>
        </w:tc>
        <w:tc>
          <w:tcPr>
            <w:tcW w:w="2965" w:type="dxa"/>
          </w:tcPr>
          <w:p w14:paraId="1829C072" w14:textId="59532F44" w:rsidR="00BC78C4" w:rsidRPr="00897F98" w:rsidRDefault="00E7250D" w:rsidP="00BC78C4">
            <w:pPr>
              <w:jc w:val="both"/>
              <w:rPr>
                <w:sz w:val="20"/>
                <w:szCs w:val="20"/>
              </w:rPr>
            </w:pPr>
            <w:r>
              <w:rPr>
                <w:sz w:val="20"/>
                <w:szCs w:val="20"/>
              </w:rPr>
              <w:t>April 2</w:t>
            </w:r>
            <w:r w:rsidR="000622E3">
              <w:rPr>
                <w:sz w:val="20"/>
                <w:szCs w:val="20"/>
              </w:rPr>
              <w:t>, 2019</w:t>
            </w:r>
          </w:p>
        </w:tc>
      </w:tr>
      <w:tr w:rsidR="00BC78C4" w:rsidRPr="00000373" w14:paraId="5C2205B6" w14:textId="77777777" w:rsidTr="00984D36">
        <w:trPr>
          <w:trHeight w:val="288"/>
        </w:trPr>
        <w:tc>
          <w:tcPr>
            <w:tcW w:w="6030" w:type="dxa"/>
          </w:tcPr>
          <w:p w14:paraId="708552F7" w14:textId="77777777" w:rsidR="00BC78C4" w:rsidRPr="00000373" w:rsidRDefault="00BC78C4" w:rsidP="00BC78C4">
            <w:pPr>
              <w:jc w:val="both"/>
              <w:rPr>
                <w:sz w:val="20"/>
                <w:szCs w:val="20"/>
              </w:rPr>
            </w:pPr>
            <w:r w:rsidRPr="00000373">
              <w:rPr>
                <w:sz w:val="20"/>
                <w:szCs w:val="20"/>
              </w:rPr>
              <w:t>Finalist presentations</w:t>
            </w:r>
          </w:p>
        </w:tc>
        <w:tc>
          <w:tcPr>
            <w:tcW w:w="2965" w:type="dxa"/>
          </w:tcPr>
          <w:p w14:paraId="45CCC803" w14:textId="7368E539" w:rsidR="00BC78C4" w:rsidRPr="00897F98" w:rsidRDefault="000622E3" w:rsidP="00BC78C4">
            <w:pPr>
              <w:jc w:val="both"/>
              <w:rPr>
                <w:sz w:val="20"/>
                <w:szCs w:val="20"/>
              </w:rPr>
            </w:pPr>
            <w:r>
              <w:rPr>
                <w:sz w:val="20"/>
                <w:szCs w:val="20"/>
              </w:rPr>
              <w:t>Week of Ap</w:t>
            </w:r>
            <w:r w:rsidR="00EC79A3">
              <w:rPr>
                <w:sz w:val="20"/>
                <w:szCs w:val="20"/>
              </w:rPr>
              <w:t>ril 29</w:t>
            </w:r>
            <w:r>
              <w:rPr>
                <w:sz w:val="20"/>
                <w:szCs w:val="20"/>
              </w:rPr>
              <w:t>, 2019</w:t>
            </w:r>
          </w:p>
        </w:tc>
      </w:tr>
      <w:tr w:rsidR="00BC78C4" w:rsidRPr="00000373" w14:paraId="152121AC" w14:textId="77777777" w:rsidTr="00984D36">
        <w:trPr>
          <w:trHeight w:val="288"/>
        </w:trPr>
        <w:tc>
          <w:tcPr>
            <w:tcW w:w="6030" w:type="dxa"/>
          </w:tcPr>
          <w:p w14:paraId="2042032B" w14:textId="77777777" w:rsidR="00BC78C4" w:rsidRPr="00000373" w:rsidRDefault="00BC78C4" w:rsidP="00BC78C4">
            <w:pPr>
              <w:jc w:val="both"/>
              <w:rPr>
                <w:sz w:val="20"/>
                <w:szCs w:val="20"/>
              </w:rPr>
            </w:pPr>
            <w:r>
              <w:rPr>
                <w:sz w:val="20"/>
                <w:szCs w:val="20"/>
              </w:rPr>
              <w:t>Finalist</w:t>
            </w:r>
            <w:r w:rsidR="00977468">
              <w:rPr>
                <w:sz w:val="20"/>
                <w:szCs w:val="20"/>
              </w:rPr>
              <w:t>s</w:t>
            </w:r>
            <w:r>
              <w:rPr>
                <w:sz w:val="20"/>
                <w:szCs w:val="20"/>
              </w:rPr>
              <w:t xml:space="preserve"> Selected / Begin Contract Negotiations</w:t>
            </w:r>
          </w:p>
        </w:tc>
        <w:tc>
          <w:tcPr>
            <w:tcW w:w="2965" w:type="dxa"/>
          </w:tcPr>
          <w:p w14:paraId="1F803940" w14:textId="2FD7E121" w:rsidR="00BC78C4" w:rsidRPr="00897F98" w:rsidRDefault="000622E3" w:rsidP="00BC78C4">
            <w:pPr>
              <w:jc w:val="both"/>
              <w:rPr>
                <w:sz w:val="20"/>
                <w:szCs w:val="20"/>
              </w:rPr>
            </w:pPr>
            <w:r>
              <w:rPr>
                <w:sz w:val="20"/>
                <w:szCs w:val="20"/>
              </w:rPr>
              <w:t>Ma</w:t>
            </w:r>
            <w:r w:rsidR="00EC79A3">
              <w:rPr>
                <w:sz w:val="20"/>
                <w:szCs w:val="20"/>
              </w:rPr>
              <w:t>y 6</w:t>
            </w:r>
            <w:r>
              <w:rPr>
                <w:sz w:val="20"/>
                <w:szCs w:val="20"/>
              </w:rPr>
              <w:t>, 2019</w:t>
            </w:r>
          </w:p>
        </w:tc>
      </w:tr>
      <w:tr w:rsidR="00BC78C4" w:rsidRPr="00000373" w14:paraId="5BF37616" w14:textId="77777777" w:rsidTr="00984D36">
        <w:trPr>
          <w:trHeight w:val="288"/>
        </w:trPr>
        <w:tc>
          <w:tcPr>
            <w:tcW w:w="6030" w:type="dxa"/>
          </w:tcPr>
          <w:p w14:paraId="331579A9" w14:textId="77777777" w:rsidR="00BC78C4" w:rsidRPr="00000373" w:rsidRDefault="00BC78C4" w:rsidP="00BC78C4">
            <w:pPr>
              <w:jc w:val="both"/>
              <w:rPr>
                <w:sz w:val="20"/>
                <w:szCs w:val="20"/>
              </w:rPr>
            </w:pPr>
            <w:r>
              <w:rPr>
                <w:sz w:val="20"/>
                <w:szCs w:val="20"/>
              </w:rPr>
              <w:t>Complete Contract Negotiations</w:t>
            </w:r>
          </w:p>
        </w:tc>
        <w:tc>
          <w:tcPr>
            <w:tcW w:w="2965" w:type="dxa"/>
          </w:tcPr>
          <w:p w14:paraId="59E90862" w14:textId="77777777" w:rsidR="00BC78C4" w:rsidRPr="00897F98" w:rsidRDefault="000622E3" w:rsidP="00BC78C4">
            <w:pPr>
              <w:jc w:val="both"/>
              <w:rPr>
                <w:sz w:val="20"/>
                <w:szCs w:val="20"/>
              </w:rPr>
            </w:pPr>
            <w:r>
              <w:rPr>
                <w:sz w:val="20"/>
                <w:szCs w:val="20"/>
              </w:rPr>
              <w:t>May 17, 2019</w:t>
            </w:r>
          </w:p>
        </w:tc>
      </w:tr>
      <w:tr w:rsidR="00BC78C4" w:rsidRPr="00000373" w14:paraId="6B2D2760" w14:textId="77777777" w:rsidTr="00984D36">
        <w:trPr>
          <w:trHeight w:val="288"/>
        </w:trPr>
        <w:tc>
          <w:tcPr>
            <w:tcW w:w="6030" w:type="dxa"/>
          </w:tcPr>
          <w:p w14:paraId="260605B5" w14:textId="77777777" w:rsidR="00BC78C4" w:rsidRPr="00000373" w:rsidRDefault="00BC78C4" w:rsidP="00BC78C4">
            <w:pPr>
              <w:jc w:val="both"/>
              <w:rPr>
                <w:sz w:val="20"/>
                <w:szCs w:val="20"/>
              </w:rPr>
            </w:pPr>
            <w:r w:rsidRPr="00000373">
              <w:rPr>
                <w:sz w:val="20"/>
                <w:szCs w:val="20"/>
              </w:rPr>
              <w:t xml:space="preserve">Estimated Award </w:t>
            </w:r>
            <w:r>
              <w:rPr>
                <w:sz w:val="20"/>
                <w:szCs w:val="20"/>
              </w:rPr>
              <w:t>N</w:t>
            </w:r>
            <w:r w:rsidRPr="00000373">
              <w:rPr>
                <w:sz w:val="20"/>
                <w:szCs w:val="20"/>
              </w:rPr>
              <w:t>otification</w:t>
            </w:r>
            <w:r w:rsidR="00D62618">
              <w:rPr>
                <w:sz w:val="20"/>
                <w:szCs w:val="20"/>
              </w:rPr>
              <w:t>s</w:t>
            </w:r>
            <w:r>
              <w:rPr>
                <w:sz w:val="20"/>
                <w:szCs w:val="20"/>
              </w:rPr>
              <w:t xml:space="preserve"> (Board Approval)</w:t>
            </w:r>
          </w:p>
        </w:tc>
        <w:tc>
          <w:tcPr>
            <w:tcW w:w="2965" w:type="dxa"/>
          </w:tcPr>
          <w:p w14:paraId="5015B0D1" w14:textId="77777777" w:rsidR="00BC78C4" w:rsidRPr="00897F98" w:rsidRDefault="000622E3" w:rsidP="00BC78C4">
            <w:pPr>
              <w:jc w:val="both"/>
              <w:rPr>
                <w:sz w:val="20"/>
                <w:szCs w:val="20"/>
              </w:rPr>
            </w:pPr>
            <w:r>
              <w:rPr>
                <w:sz w:val="20"/>
                <w:szCs w:val="20"/>
              </w:rPr>
              <w:t>May 22, 2019</w:t>
            </w:r>
          </w:p>
        </w:tc>
      </w:tr>
      <w:tr w:rsidR="006128FB" w:rsidRPr="00000373" w14:paraId="3D8355BA" w14:textId="77777777" w:rsidTr="00984D36">
        <w:trPr>
          <w:trHeight w:val="288"/>
        </w:trPr>
        <w:tc>
          <w:tcPr>
            <w:tcW w:w="6030" w:type="dxa"/>
          </w:tcPr>
          <w:p w14:paraId="3E4C8BD4" w14:textId="77777777" w:rsidR="006128FB" w:rsidRPr="00000373" w:rsidRDefault="006128FB" w:rsidP="00AA119C">
            <w:pPr>
              <w:jc w:val="both"/>
              <w:rPr>
                <w:sz w:val="20"/>
                <w:szCs w:val="20"/>
              </w:rPr>
            </w:pPr>
            <w:r w:rsidRPr="00000373">
              <w:rPr>
                <w:sz w:val="20"/>
                <w:szCs w:val="20"/>
              </w:rPr>
              <w:t>Implementation</w:t>
            </w:r>
            <w:r w:rsidR="004E1675" w:rsidRPr="00000373">
              <w:rPr>
                <w:sz w:val="20"/>
                <w:szCs w:val="20"/>
              </w:rPr>
              <w:t xml:space="preserve"> Schedule</w:t>
            </w:r>
          </w:p>
        </w:tc>
        <w:tc>
          <w:tcPr>
            <w:tcW w:w="2965" w:type="dxa"/>
          </w:tcPr>
          <w:p w14:paraId="199D2AE5" w14:textId="77777777" w:rsidR="006128FB" w:rsidRPr="00000373" w:rsidRDefault="004E1675" w:rsidP="00AA119C">
            <w:pPr>
              <w:jc w:val="both"/>
              <w:rPr>
                <w:sz w:val="20"/>
                <w:szCs w:val="20"/>
              </w:rPr>
            </w:pPr>
            <w:r w:rsidRPr="00000373">
              <w:rPr>
                <w:sz w:val="20"/>
                <w:szCs w:val="20"/>
              </w:rPr>
              <w:t>To be determined</w:t>
            </w:r>
          </w:p>
        </w:tc>
      </w:tr>
    </w:tbl>
    <w:p w14:paraId="727CA5CC" w14:textId="77777777" w:rsidR="005F3FDE" w:rsidRPr="00000373" w:rsidRDefault="005F3FDE" w:rsidP="00793FB4">
      <w:pPr>
        <w:jc w:val="both"/>
        <w:rPr>
          <w:sz w:val="20"/>
          <w:szCs w:val="20"/>
        </w:rPr>
      </w:pPr>
      <w:r w:rsidRPr="00000373">
        <w:rPr>
          <w:sz w:val="20"/>
          <w:szCs w:val="20"/>
        </w:rPr>
        <w:tab/>
      </w:r>
    </w:p>
    <w:p w14:paraId="32F16C29" w14:textId="77777777" w:rsidR="002D6EC6" w:rsidRPr="00000373" w:rsidRDefault="00642E25" w:rsidP="006D4383">
      <w:pPr>
        <w:ind w:left="360"/>
        <w:jc w:val="both"/>
        <w:rPr>
          <w:sz w:val="20"/>
          <w:szCs w:val="20"/>
        </w:rPr>
      </w:pPr>
      <w:r>
        <w:rPr>
          <w:sz w:val="20"/>
          <w:szCs w:val="20"/>
        </w:rPr>
        <w:t xml:space="preserve">The State </w:t>
      </w:r>
      <w:r w:rsidR="002D6EC6" w:rsidRPr="00000373">
        <w:rPr>
          <w:sz w:val="20"/>
          <w:szCs w:val="20"/>
        </w:rPr>
        <w:t>reserves the right to cancel and/or modify the RFP dates at any time.</w:t>
      </w:r>
    </w:p>
    <w:p w14:paraId="72CF2DD8" w14:textId="77777777" w:rsidR="002D6EC6" w:rsidRPr="00000373" w:rsidRDefault="002D6EC6" w:rsidP="006D4383">
      <w:pPr>
        <w:ind w:left="360"/>
        <w:jc w:val="both"/>
        <w:rPr>
          <w:sz w:val="20"/>
          <w:szCs w:val="20"/>
        </w:rPr>
      </w:pPr>
    </w:p>
    <w:p w14:paraId="111EA637" w14:textId="77777777" w:rsidR="002D6EC6" w:rsidRPr="00000373" w:rsidRDefault="00120927" w:rsidP="006D4383">
      <w:pPr>
        <w:ind w:left="360"/>
        <w:jc w:val="both"/>
        <w:rPr>
          <w:sz w:val="20"/>
          <w:szCs w:val="20"/>
        </w:rPr>
      </w:pPr>
      <w:r>
        <w:rPr>
          <w:sz w:val="20"/>
          <w:szCs w:val="20"/>
        </w:rPr>
        <w:t>Vendors</w:t>
      </w:r>
      <w:r w:rsidR="002D6EC6" w:rsidRPr="00000373">
        <w:rPr>
          <w:sz w:val="20"/>
          <w:szCs w:val="20"/>
        </w:rPr>
        <w:t xml:space="preserve"> </w:t>
      </w:r>
      <w:proofErr w:type="gramStart"/>
      <w:r w:rsidR="002D6EC6" w:rsidRPr="00000373">
        <w:rPr>
          <w:sz w:val="20"/>
          <w:szCs w:val="20"/>
        </w:rPr>
        <w:t>are expected</w:t>
      </w:r>
      <w:proofErr w:type="gramEnd"/>
      <w:r w:rsidR="002D6EC6" w:rsidRPr="00000373">
        <w:rPr>
          <w:sz w:val="20"/>
          <w:szCs w:val="20"/>
        </w:rPr>
        <w:t xml:space="preserve"> to fully inform themselves as to the </w:t>
      </w:r>
      <w:r w:rsidR="00EA2DC6">
        <w:rPr>
          <w:sz w:val="20"/>
          <w:szCs w:val="20"/>
        </w:rPr>
        <w:t xml:space="preserve">Vendors’ </w:t>
      </w:r>
      <w:r w:rsidR="002D6EC6" w:rsidRPr="00000373">
        <w:rPr>
          <w:sz w:val="20"/>
          <w:szCs w:val="20"/>
        </w:rPr>
        <w:t xml:space="preserve">conditions, requirements, and specifications before submitting proposals. Failure to do so will be at </w:t>
      </w:r>
      <w:r w:rsidR="00EA2DC6">
        <w:rPr>
          <w:sz w:val="20"/>
          <w:szCs w:val="20"/>
        </w:rPr>
        <w:t>Vendor</w:t>
      </w:r>
      <w:r w:rsidR="002D6EC6" w:rsidRPr="00000373">
        <w:rPr>
          <w:sz w:val="20"/>
          <w:szCs w:val="20"/>
        </w:rPr>
        <w:t>s</w:t>
      </w:r>
      <w:r w:rsidR="00DA110B">
        <w:rPr>
          <w:sz w:val="20"/>
          <w:szCs w:val="20"/>
        </w:rPr>
        <w:t>’</w:t>
      </w:r>
      <w:r w:rsidR="002D6EC6" w:rsidRPr="00000373">
        <w:rPr>
          <w:sz w:val="20"/>
          <w:szCs w:val="20"/>
        </w:rPr>
        <w:t xml:space="preserve"> own risk</w:t>
      </w:r>
      <w:r w:rsidR="00DA110B">
        <w:rPr>
          <w:sz w:val="20"/>
          <w:szCs w:val="20"/>
        </w:rPr>
        <w:t xml:space="preserve">. They </w:t>
      </w:r>
      <w:r w:rsidR="00EA2DC6">
        <w:rPr>
          <w:sz w:val="20"/>
          <w:szCs w:val="20"/>
        </w:rPr>
        <w:t>cannot secure relief on</w:t>
      </w:r>
      <w:r w:rsidR="002D6EC6" w:rsidRPr="00000373">
        <w:rPr>
          <w:sz w:val="20"/>
          <w:szCs w:val="20"/>
        </w:rPr>
        <w:t xml:space="preserve"> plea of error.</w:t>
      </w:r>
    </w:p>
    <w:p w14:paraId="5FDB5170" w14:textId="77777777" w:rsidR="00000373" w:rsidRPr="00000373" w:rsidRDefault="00000373" w:rsidP="00F665BF">
      <w:pPr>
        <w:pStyle w:val="Heading2"/>
        <w:tabs>
          <w:tab w:val="clear" w:pos="2880"/>
        </w:tabs>
        <w:ind w:left="360"/>
      </w:pPr>
      <w:r w:rsidRPr="00000373">
        <w:t>Consultant</w:t>
      </w:r>
    </w:p>
    <w:p w14:paraId="7BD01E22" w14:textId="77777777" w:rsidR="00000373" w:rsidRPr="00823AA8" w:rsidRDefault="00000373" w:rsidP="00C53136">
      <w:pPr>
        <w:ind w:left="360"/>
        <w:jc w:val="both"/>
        <w:rPr>
          <w:sz w:val="20"/>
          <w:szCs w:val="20"/>
        </w:rPr>
      </w:pPr>
      <w:r w:rsidRPr="00000373">
        <w:rPr>
          <w:sz w:val="20"/>
          <w:szCs w:val="20"/>
        </w:rPr>
        <w:t>To assist with RFP evaluation efforts, the St</w:t>
      </w:r>
      <w:r w:rsidR="00EA2DC6">
        <w:rPr>
          <w:sz w:val="20"/>
          <w:szCs w:val="20"/>
        </w:rPr>
        <w:t>ate has selected a third-party c</w:t>
      </w:r>
      <w:r w:rsidRPr="00000373">
        <w:rPr>
          <w:sz w:val="20"/>
          <w:szCs w:val="20"/>
        </w:rPr>
        <w:t>onsultant, PFM Asset Management LLC (“Consultant”). The Consultant will advise the State on industry best practices with regard to the proposed service delivery model, vendor selection, and other activities as needed with vendor, product, or service transition.</w:t>
      </w:r>
    </w:p>
    <w:p w14:paraId="7A21067E" w14:textId="77777777" w:rsidR="00000373" w:rsidRPr="00823AA8" w:rsidRDefault="00000373" w:rsidP="00F665BF">
      <w:pPr>
        <w:pStyle w:val="Heading2"/>
        <w:tabs>
          <w:tab w:val="clear" w:pos="2880"/>
        </w:tabs>
        <w:ind w:left="360"/>
      </w:pPr>
      <w:r w:rsidRPr="00823AA8">
        <w:t xml:space="preserve">Intent to </w:t>
      </w:r>
      <w:r w:rsidR="005046D4" w:rsidRPr="005046D4">
        <w:t>Respond</w:t>
      </w:r>
    </w:p>
    <w:p w14:paraId="6003119F" w14:textId="4C80072E" w:rsidR="00000373" w:rsidRPr="000743F9" w:rsidRDefault="00000373" w:rsidP="00C53136">
      <w:pPr>
        <w:ind w:left="360"/>
        <w:jc w:val="both"/>
        <w:rPr>
          <w:sz w:val="20"/>
          <w:szCs w:val="20"/>
        </w:rPr>
      </w:pPr>
      <w:r w:rsidRPr="000743F9">
        <w:rPr>
          <w:sz w:val="20"/>
          <w:szCs w:val="20"/>
        </w:rPr>
        <w:t xml:space="preserve">Prospective </w:t>
      </w:r>
      <w:r w:rsidR="00120927">
        <w:rPr>
          <w:sz w:val="20"/>
          <w:szCs w:val="20"/>
        </w:rPr>
        <w:t>Vendors</w:t>
      </w:r>
      <w:r w:rsidRPr="000743F9">
        <w:rPr>
          <w:sz w:val="20"/>
          <w:szCs w:val="20"/>
        </w:rPr>
        <w:t xml:space="preserve"> that are interested in receiving addenda to this RFP, including responses to submitted questions from all participating </w:t>
      </w:r>
      <w:r w:rsidR="00120927">
        <w:rPr>
          <w:sz w:val="20"/>
          <w:szCs w:val="20"/>
        </w:rPr>
        <w:t>Vendors</w:t>
      </w:r>
      <w:r w:rsidRPr="000743F9">
        <w:rPr>
          <w:sz w:val="20"/>
          <w:szCs w:val="20"/>
        </w:rPr>
        <w:t xml:space="preserve">, should complete </w:t>
      </w:r>
      <w:r w:rsidR="00E86D0D">
        <w:rPr>
          <w:sz w:val="20"/>
          <w:szCs w:val="20"/>
        </w:rPr>
        <w:t>a</w:t>
      </w:r>
      <w:r w:rsidR="00E86D0D" w:rsidRPr="000743F9">
        <w:rPr>
          <w:sz w:val="20"/>
          <w:szCs w:val="20"/>
        </w:rPr>
        <w:t xml:space="preserve"> </w:t>
      </w:r>
      <w:r w:rsidRPr="000743F9">
        <w:rPr>
          <w:sz w:val="20"/>
          <w:szCs w:val="20"/>
        </w:rPr>
        <w:t xml:space="preserve">Notice of Intent to Respond and submit it to </w:t>
      </w:r>
      <w:hyperlink r:id="rId11" w:history="1">
        <w:r w:rsidR="0070799E" w:rsidRPr="00897F98">
          <w:rPr>
            <w:rStyle w:val="Hyperlink"/>
            <w:sz w:val="20"/>
            <w:szCs w:val="20"/>
          </w:rPr>
          <w:t>Treasury_RFP@</w:t>
        </w:r>
        <w:r w:rsidR="0070799E" w:rsidRPr="00977714">
          <w:rPr>
            <w:rStyle w:val="Hyperlink"/>
            <w:sz w:val="20"/>
            <w:szCs w:val="20"/>
          </w:rPr>
          <w:t>delaware.gov</w:t>
        </w:r>
      </w:hyperlink>
      <w:r w:rsidR="0070799E">
        <w:rPr>
          <w:sz w:val="20"/>
          <w:szCs w:val="20"/>
        </w:rPr>
        <w:t xml:space="preserve"> </w:t>
      </w:r>
      <w:r w:rsidR="004772A2" w:rsidRPr="000743F9">
        <w:rPr>
          <w:sz w:val="20"/>
          <w:szCs w:val="20"/>
        </w:rPr>
        <w:t xml:space="preserve">by </w:t>
      </w:r>
      <w:r w:rsidRPr="0064785A">
        <w:rPr>
          <w:sz w:val="20"/>
          <w:szCs w:val="20"/>
        </w:rPr>
        <w:t xml:space="preserve">the date specified above. This will allow OST and Consultant to provide timely information to interested parties. </w:t>
      </w:r>
      <w:r w:rsidR="00984D36" w:rsidRPr="000743F9">
        <w:rPr>
          <w:sz w:val="20"/>
          <w:szCs w:val="20"/>
        </w:rPr>
        <w:t xml:space="preserve">All addenda relating to this RFP, including the responses to </w:t>
      </w:r>
      <w:proofErr w:type="gramStart"/>
      <w:r w:rsidR="00984D36" w:rsidRPr="000743F9">
        <w:rPr>
          <w:sz w:val="20"/>
          <w:szCs w:val="20"/>
        </w:rPr>
        <w:t>questions,</w:t>
      </w:r>
      <w:proofErr w:type="gramEnd"/>
      <w:r w:rsidR="00984D36" w:rsidRPr="000743F9">
        <w:rPr>
          <w:sz w:val="20"/>
          <w:szCs w:val="20"/>
        </w:rPr>
        <w:t xml:space="preserve"> will be </w:t>
      </w:r>
      <w:r w:rsidR="000743F9" w:rsidRPr="000743F9">
        <w:rPr>
          <w:sz w:val="20"/>
          <w:szCs w:val="20"/>
        </w:rPr>
        <w:t xml:space="preserve">exclusively </w:t>
      </w:r>
      <w:r w:rsidR="00984D36" w:rsidRPr="000743F9">
        <w:rPr>
          <w:sz w:val="20"/>
          <w:szCs w:val="20"/>
        </w:rPr>
        <w:t xml:space="preserve">placed on </w:t>
      </w:r>
      <w:hyperlink r:id="rId12" w:history="1">
        <w:r w:rsidR="000743F9" w:rsidRPr="003D2FED">
          <w:rPr>
            <w:rStyle w:val="Hyperlink"/>
            <w:sz w:val="20"/>
            <w:szCs w:val="20"/>
          </w:rPr>
          <w:t>http://bids.delaware.gov</w:t>
        </w:r>
      </w:hyperlink>
      <w:r w:rsidR="00984D36" w:rsidRPr="000743F9">
        <w:rPr>
          <w:sz w:val="20"/>
          <w:szCs w:val="20"/>
        </w:rPr>
        <w:t xml:space="preserve">. </w:t>
      </w:r>
      <w:r w:rsidRPr="000743F9">
        <w:rPr>
          <w:sz w:val="20"/>
          <w:szCs w:val="20"/>
        </w:rPr>
        <w:t xml:space="preserve">Submitting the Notice of Intent to </w:t>
      </w:r>
      <w:proofErr w:type="gramStart"/>
      <w:r w:rsidR="00D40BFD" w:rsidRPr="0064785A">
        <w:rPr>
          <w:sz w:val="20"/>
          <w:szCs w:val="20"/>
        </w:rPr>
        <w:t>Respond</w:t>
      </w:r>
      <w:proofErr w:type="gramEnd"/>
      <w:r w:rsidRPr="0064785A">
        <w:rPr>
          <w:sz w:val="20"/>
          <w:szCs w:val="20"/>
        </w:rPr>
        <w:t xml:space="preserve"> does not obligate the prospective </w:t>
      </w:r>
      <w:r w:rsidR="00EA2DC6">
        <w:rPr>
          <w:sz w:val="20"/>
          <w:szCs w:val="20"/>
        </w:rPr>
        <w:t>Vendor</w:t>
      </w:r>
      <w:r w:rsidRPr="000743F9">
        <w:rPr>
          <w:sz w:val="20"/>
          <w:szCs w:val="20"/>
        </w:rPr>
        <w:t xml:space="preserve"> in any way.</w:t>
      </w:r>
    </w:p>
    <w:p w14:paraId="70C7F8B8" w14:textId="77777777" w:rsidR="00000373" w:rsidRPr="00000373" w:rsidRDefault="00000373" w:rsidP="00C53136">
      <w:pPr>
        <w:ind w:left="360"/>
        <w:jc w:val="both"/>
        <w:rPr>
          <w:sz w:val="20"/>
          <w:szCs w:val="20"/>
        </w:rPr>
      </w:pPr>
    </w:p>
    <w:p w14:paraId="429DA3A1" w14:textId="77777777" w:rsidR="00000373" w:rsidRPr="00000373" w:rsidRDefault="00000373" w:rsidP="00C53136">
      <w:pPr>
        <w:ind w:left="360"/>
        <w:jc w:val="both"/>
        <w:rPr>
          <w:sz w:val="20"/>
          <w:szCs w:val="20"/>
        </w:rPr>
      </w:pPr>
      <w:r w:rsidRPr="00000373">
        <w:rPr>
          <w:sz w:val="20"/>
          <w:szCs w:val="20"/>
        </w:rPr>
        <w:t xml:space="preserve">The effect of all addenda to the RFP documents </w:t>
      </w:r>
      <w:proofErr w:type="gramStart"/>
      <w:r w:rsidRPr="00000373">
        <w:rPr>
          <w:sz w:val="20"/>
          <w:szCs w:val="20"/>
        </w:rPr>
        <w:t>shall be considered</w:t>
      </w:r>
      <w:proofErr w:type="gramEnd"/>
      <w:r w:rsidRPr="00000373">
        <w:rPr>
          <w:sz w:val="20"/>
          <w:szCs w:val="20"/>
        </w:rPr>
        <w:t xml:space="preserve"> in the proposal, and said addenda shall be made part of the RFP documents. Before submitting a proposal, each shall ascertain </w:t>
      </w:r>
      <w:r w:rsidR="00F91320" w:rsidRPr="00000373">
        <w:rPr>
          <w:sz w:val="20"/>
          <w:szCs w:val="20"/>
        </w:rPr>
        <w:t>whether</w:t>
      </w:r>
      <w:r w:rsidRPr="00000373">
        <w:rPr>
          <w:sz w:val="20"/>
          <w:szCs w:val="20"/>
        </w:rPr>
        <w:t xml:space="preserve"> any addenda </w:t>
      </w:r>
      <w:proofErr w:type="gramStart"/>
      <w:r w:rsidRPr="00000373">
        <w:rPr>
          <w:sz w:val="20"/>
          <w:szCs w:val="20"/>
        </w:rPr>
        <w:t>have been issued</w:t>
      </w:r>
      <w:proofErr w:type="gramEnd"/>
      <w:r w:rsidRPr="00000373">
        <w:rPr>
          <w:sz w:val="20"/>
          <w:szCs w:val="20"/>
        </w:rPr>
        <w:t xml:space="preserve">. Failure to include information provided on any such addenda in </w:t>
      </w:r>
      <w:r w:rsidR="005816A7">
        <w:rPr>
          <w:sz w:val="20"/>
          <w:szCs w:val="20"/>
        </w:rPr>
        <w:t xml:space="preserve">a </w:t>
      </w:r>
      <w:r w:rsidRPr="00000373">
        <w:rPr>
          <w:sz w:val="20"/>
          <w:szCs w:val="20"/>
        </w:rPr>
        <w:t>proposal may render the proposal invalid and result in its rejection.</w:t>
      </w:r>
    </w:p>
    <w:p w14:paraId="349B29D6" w14:textId="77777777" w:rsidR="00000373" w:rsidRPr="00F665BF" w:rsidRDefault="006809DA" w:rsidP="00F665BF">
      <w:pPr>
        <w:pStyle w:val="Heading2"/>
        <w:tabs>
          <w:tab w:val="clear" w:pos="2880"/>
        </w:tabs>
        <w:ind w:left="360"/>
      </w:pPr>
      <w:r w:rsidRPr="00000373">
        <w:t>Proposal to Remain Open</w:t>
      </w:r>
    </w:p>
    <w:p w14:paraId="3FA0C21F" w14:textId="77777777" w:rsidR="006809DA" w:rsidRPr="00000373" w:rsidRDefault="00BB16D9" w:rsidP="006D4383">
      <w:pPr>
        <w:ind w:left="360"/>
        <w:jc w:val="both"/>
        <w:rPr>
          <w:sz w:val="20"/>
          <w:szCs w:val="20"/>
        </w:rPr>
      </w:pPr>
      <w:r w:rsidRPr="00000373">
        <w:rPr>
          <w:color w:val="000000" w:themeColor="text1"/>
          <w:sz w:val="20"/>
          <w:szCs w:val="20"/>
        </w:rPr>
        <w:t>Vendor</w:t>
      </w:r>
      <w:r w:rsidR="0083781A" w:rsidRPr="00000373">
        <w:rPr>
          <w:color w:val="000000" w:themeColor="text1"/>
          <w:sz w:val="20"/>
          <w:szCs w:val="20"/>
        </w:rPr>
        <w:t xml:space="preserve">s that submit a proposal in response to this RFP </w:t>
      </w:r>
      <w:proofErr w:type="gramStart"/>
      <w:r w:rsidR="0083781A" w:rsidRPr="00000373">
        <w:rPr>
          <w:color w:val="000000" w:themeColor="text1"/>
          <w:sz w:val="20"/>
          <w:szCs w:val="20"/>
        </w:rPr>
        <w:t>shall be deemed</w:t>
      </w:r>
      <w:proofErr w:type="gramEnd"/>
      <w:r w:rsidR="0083781A" w:rsidRPr="00000373">
        <w:rPr>
          <w:color w:val="000000" w:themeColor="text1"/>
          <w:sz w:val="20"/>
          <w:szCs w:val="20"/>
        </w:rPr>
        <w:t xml:space="preserve"> </w:t>
      </w:r>
      <w:r w:rsidR="00D5798F" w:rsidRPr="00000373">
        <w:rPr>
          <w:color w:val="000000" w:themeColor="text1"/>
          <w:sz w:val="20"/>
          <w:szCs w:val="20"/>
        </w:rPr>
        <w:t xml:space="preserve">automatically </w:t>
      </w:r>
      <w:r w:rsidR="0083781A" w:rsidRPr="00000373">
        <w:rPr>
          <w:color w:val="000000" w:themeColor="text1"/>
          <w:sz w:val="20"/>
          <w:szCs w:val="20"/>
        </w:rPr>
        <w:t xml:space="preserve">to have consented and irrevocably agreed </w:t>
      </w:r>
      <w:r w:rsidR="006809DA" w:rsidRPr="00000373">
        <w:rPr>
          <w:color w:val="000000" w:themeColor="text1"/>
          <w:sz w:val="20"/>
          <w:szCs w:val="20"/>
        </w:rPr>
        <w:t>to keep any</w:t>
      </w:r>
      <w:r w:rsidR="00AA0167" w:rsidRPr="00000373">
        <w:rPr>
          <w:color w:val="000000" w:themeColor="text1"/>
          <w:sz w:val="20"/>
          <w:szCs w:val="20"/>
        </w:rPr>
        <w:t xml:space="preserve"> </w:t>
      </w:r>
      <w:r w:rsidR="0083781A" w:rsidRPr="00000373">
        <w:rPr>
          <w:color w:val="000000" w:themeColor="text1"/>
          <w:sz w:val="20"/>
          <w:szCs w:val="20"/>
        </w:rPr>
        <w:t xml:space="preserve">such </w:t>
      </w:r>
      <w:r w:rsidR="00AA0167" w:rsidRPr="00000373">
        <w:rPr>
          <w:color w:val="000000" w:themeColor="text1"/>
          <w:sz w:val="20"/>
          <w:szCs w:val="20"/>
        </w:rPr>
        <w:t xml:space="preserve">proposal open for </w:t>
      </w:r>
      <w:r w:rsidR="00410252" w:rsidRPr="00000373">
        <w:rPr>
          <w:sz w:val="20"/>
          <w:szCs w:val="20"/>
        </w:rPr>
        <w:t>twelve</w:t>
      </w:r>
      <w:r w:rsidR="00457517" w:rsidRPr="00000373">
        <w:rPr>
          <w:sz w:val="20"/>
          <w:szCs w:val="20"/>
        </w:rPr>
        <w:t xml:space="preserve"> (12)</w:t>
      </w:r>
      <w:r w:rsidR="00AA0167" w:rsidRPr="00000373">
        <w:rPr>
          <w:sz w:val="20"/>
          <w:szCs w:val="20"/>
        </w:rPr>
        <w:t xml:space="preserve"> months after the </w:t>
      </w:r>
      <w:r w:rsidR="006D7C6E" w:rsidRPr="00000373">
        <w:rPr>
          <w:sz w:val="20"/>
          <w:szCs w:val="20"/>
        </w:rPr>
        <w:t xml:space="preserve">deadline for </w:t>
      </w:r>
      <w:r w:rsidR="0083781A" w:rsidRPr="00000373">
        <w:rPr>
          <w:sz w:val="20"/>
          <w:szCs w:val="20"/>
        </w:rPr>
        <w:t xml:space="preserve">Vendor </w:t>
      </w:r>
      <w:r w:rsidR="00AA0167" w:rsidRPr="00000373">
        <w:rPr>
          <w:sz w:val="20"/>
          <w:szCs w:val="20"/>
        </w:rPr>
        <w:t>proposal submission</w:t>
      </w:r>
      <w:r w:rsidR="003C2B43" w:rsidRPr="00000373">
        <w:rPr>
          <w:sz w:val="20"/>
          <w:szCs w:val="20"/>
        </w:rPr>
        <w:t>, or</w:t>
      </w:r>
      <w:r w:rsidR="007F5AAA" w:rsidRPr="00000373">
        <w:rPr>
          <w:sz w:val="20"/>
          <w:szCs w:val="20"/>
        </w:rPr>
        <w:t xml:space="preserve"> for such additional period as </w:t>
      </w:r>
      <w:r w:rsidR="003A359E">
        <w:rPr>
          <w:sz w:val="20"/>
          <w:szCs w:val="20"/>
        </w:rPr>
        <w:t>the State</w:t>
      </w:r>
      <w:r w:rsidR="003A359E" w:rsidRPr="00000373">
        <w:rPr>
          <w:sz w:val="20"/>
          <w:szCs w:val="20"/>
        </w:rPr>
        <w:t xml:space="preserve"> </w:t>
      </w:r>
      <w:r w:rsidR="007F5AAA" w:rsidRPr="00000373">
        <w:rPr>
          <w:sz w:val="20"/>
          <w:szCs w:val="20"/>
        </w:rPr>
        <w:t>and Vendor may agree upon</w:t>
      </w:r>
      <w:r w:rsidR="00F1007C" w:rsidRPr="00000373">
        <w:rPr>
          <w:sz w:val="20"/>
          <w:szCs w:val="20"/>
        </w:rPr>
        <w:t>.</w:t>
      </w:r>
    </w:p>
    <w:p w14:paraId="1543EEC3" w14:textId="77777777" w:rsidR="00000373" w:rsidRPr="00000373" w:rsidRDefault="006809DA" w:rsidP="00F665BF">
      <w:pPr>
        <w:pStyle w:val="Heading2"/>
        <w:tabs>
          <w:tab w:val="clear" w:pos="2880"/>
        </w:tabs>
        <w:ind w:left="360"/>
      </w:pPr>
      <w:r w:rsidRPr="00000373">
        <w:t>Contract</w:t>
      </w:r>
      <w:r w:rsidR="005D57EB" w:rsidRPr="00000373">
        <w:t xml:space="preserve"> Term</w:t>
      </w:r>
    </w:p>
    <w:p w14:paraId="6A2B7DF6" w14:textId="77777777" w:rsidR="006809DA" w:rsidRDefault="008A3618" w:rsidP="00C53136">
      <w:pPr>
        <w:ind w:left="360"/>
        <w:jc w:val="both"/>
        <w:rPr>
          <w:sz w:val="20"/>
          <w:szCs w:val="20"/>
        </w:rPr>
      </w:pPr>
      <w:r w:rsidRPr="00000373">
        <w:rPr>
          <w:sz w:val="20"/>
          <w:szCs w:val="20"/>
        </w:rPr>
        <w:t xml:space="preserve">The term of the contract between </w:t>
      </w:r>
      <w:r w:rsidR="0083781A" w:rsidRPr="00000373">
        <w:rPr>
          <w:sz w:val="20"/>
          <w:szCs w:val="20"/>
        </w:rPr>
        <w:t xml:space="preserve">each </w:t>
      </w:r>
      <w:r w:rsidRPr="00000373">
        <w:rPr>
          <w:sz w:val="20"/>
          <w:szCs w:val="20"/>
        </w:rPr>
        <w:t xml:space="preserve">successful </w:t>
      </w:r>
      <w:r w:rsidR="00BB16D9" w:rsidRPr="00000373">
        <w:rPr>
          <w:sz w:val="20"/>
          <w:szCs w:val="20"/>
        </w:rPr>
        <w:t>Vendor</w:t>
      </w:r>
      <w:r w:rsidRPr="00000373">
        <w:rPr>
          <w:sz w:val="20"/>
          <w:szCs w:val="20"/>
        </w:rPr>
        <w:t xml:space="preserve"> and the State shall be </w:t>
      </w:r>
      <w:r w:rsidR="00B746F9" w:rsidRPr="00000373">
        <w:rPr>
          <w:sz w:val="20"/>
          <w:szCs w:val="20"/>
        </w:rPr>
        <w:t xml:space="preserve">three </w:t>
      </w:r>
      <w:r w:rsidRPr="00000373">
        <w:rPr>
          <w:sz w:val="20"/>
          <w:szCs w:val="20"/>
        </w:rPr>
        <w:t>(</w:t>
      </w:r>
      <w:r w:rsidR="00B746F9" w:rsidRPr="00000373">
        <w:rPr>
          <w:sz w:val="20"/>
          <w:szCs w:val="20"/>
        </w:rPr>
        <w:t>3</w:t>
      </w:r>
      <w:r w:rsidRPr="00000373">
        <w:rPr>
          <w:sz w:val="20"/>
          <w:szCs w:val="20"/>
        </w:rPr>
        <w:t xml:space="preserve">) years with an option for a maximum of </w:t>
      </w:r>
      <w:r w:rsidR="00B746F9" w:rsidRPr="00000373">
        <w:rPr>
          <w:sz w:val="20"/>
          <w:szCs w:val="20"/>
        </w:rPr>
        <w:t xml:space="preserve">two </w:t>
      </w:r>
      <w:r w:rsidRPr="00000373">
        <w:rPr>
          <w:sz w:val="20"/>
          <w:szCs w:val="20"/>
        </w:rPr>
        <w:t>(</w:t>
      </w:r>
      <w:r w:rsidR="00B746F9" w:rsidRPr="00000373">
        <w:rPr>
          <w:sz w:val="20"/>
          <w:szCs w:val="20"/>
        </w:rPr>
        <w:t>2</w:t>
      </w:r>
      <w:r w:rsidRPr="00000373">
        <w:rPr>
          <w:sz w:val="20"/>
          <w:szCs w:val="20"/>
        </w:rPr>
        <w:t xml:space="preserve">) extensions for a period of </w:t>
      </w:r>
      <w:r w:rsidR="00B746F9" w:rsidRPr="00000373">
        <w:rPr>
          <w:sz w:val="20"/>
          <w:szCs w:val="20"/>
        </w:rPr>
        <w:t xml:space="preserve">two </w:t>
      </w:r>
      <w:r w:rsidRPr="00000373">
        <w:rPr>
          <w:sz w:val="20"/>
          <w:szCs w:val="20"/>
        </w:rPr>
        <w:t>(</w:t>
      </w:r>
      <w:r w:rsidR="00B746F9" w:rsidRPr="00000373">
        <w:rPr>
          <w:sz w:val="20"/>
          <w:szCs w:val="20"/>
        </w:rPr>
        <w:t>2</w:t>
      </w:r>
      <w:r w:rsidRPr="00000373">
        <w:rPr>
          <w:sz w:val="20"/>
          <w:szCs w:val="20"/>
        </w:rPr>
        <w:t>) year</w:t>
      </w:r>
      <w:r w:rsidR="00B746F9" w:rsidRPr="00000373">
        <w:rPr>
          <w:sz w:val="20"/>
          <w:szCs w:val="20"/>
        </w:rPr>
        <w:t>s</w:t>
      </w:r>
      <w:r w:rsidRPr="00000373">
        <w:rPr>
          <w:sz w:val="20"/>
          <w:szCs w:val="20"/>
        </w:rPr>
        <w:t xml:space="preserve"> each.</w:t>
      </w:r>
    </w:p>
    <w:p w14:paraId="218C3F61" w14:textId="77777777" w:rsidR="00EF3D0A" w:rsidRDefault="00EF3D0A" w:rsidP="00C53136">
      <w:pPr>
        <w:ind w:left="360"/>
        <w:jc w:val="both"/>
        <w:rPr>
          <w:sz w:val="20"/>
          <w:szCs w:val="20"/>
        </w:rPr>
      </w:pPr>
    </w:p>
    <w:p w14:paraId="1C682D21" w14:textId="7218E709" w:rsidR="00EF3D0A" w:rsidRPr="00000373" w:rsidRDefault="00EF3D0A" w:rsidP="00C53136">
      <w:pPr>
        <w:ind w:left="360"/>
        <w:jc w:val="both"/>
        <w:rPr>
          <w:sz w:val="20"/>
          <w:szCs w:val="20"/>
        </w:rPr>
      </w:pPr>
      <w:r>
        <w:rPr>
          <w:sz w:val="20"/>
          <w:szCs w:val="20"/>
        </w:rPr>
        <w:t>Vendors</w:t>
      </w:r>
      <w:r w:rsidRPr="00EF3D0A">
        <w:rPr>
          <w:sz w:val="20"/>
          <w:szCs w:val="20"/>
        </w:rPr>
        <w:t xml:space="preserve"> must agree to fix contract fees for </w:t>
      </w:r>
      <w:r w:rsidR="007D027D">
        <w:rPr>
          <w:sz w:val="20"/>
          <w:szCs w:val="20"/>
        </w:rPr>
        <w:t xml:space="preserve">the </w:t>
      </w:r>
      <w:r w:rsidR="005C4F54">
        <w:rPr>
          <w:sz w:val="20"/>
          <w:szCs w:val="20"/>
        </w:rPr>
        <w:t>initial term</w:t>
      </w:r>
      <w:r w:rsidRPr="00EF3D0A">
        <w:rPr>
          <w:sz w:val="20"/>
          <w:szCs w:val="20"/>
        </w:rPr>
        <w:t xml:space="preserve"> </w:t>
      </w:r>
      <w:r w:rsidR="005C4F54">
        <w:rPr>
          <w:sz w:val="20"/>
          <w:szCs w:val="20"/>
        </w:rPr>
        <w:t>(</w:t>
      </w:r>
      <w:r w:rsidR="00096BA0">
        <w:rPr>
          <w:sz w:val="20"/>
          <w:szCs w:val="20"/>
        </w:rPr>
        <w:t>three (</w:t>
      </w:r>
      <w:r w:rsidRPr="00EF3D0A">
        <w:rPr>
          <w:sz w:val="20"/>
          <w:szCs w:val="20"/>
        </w:rPr>
        <w:t>3</w:t>
      </w:r>
      <w:r w:rsidR="00096BA0">
        <w:rPr>
          <w:sz w:val="20"/>
          <w:szCs w:val="20"/>
        </w:rPr>
        <w:t>)</w:t>
      </w:r>
      <w:r w:rsidRPr="00EF3D0A">
        <w:rPr>
          <w:sz w:val="20"/>
          <w:szCs w:val="20"/>
        </w:rPr>
        <w:t xml:space="preserve"> years</w:t>
      </w:r>
      <w:r w:rsidR="005C4F54">
        <w:rPr>
          <w:sz w:val="20"/>
          <w:szCs w:val="20"/>
        </w:rPr>
        <w:t>)</w:t>
      </w:r>
      <w:r w:rsidRPr="00EF3D0A">
        <w:rPr>
          <w:sz w:val="20"/>
          <w:szCs w:val="20"/>
        </w:rPr>
        <w:t xml:space="preserve">. </w:t>
      </w:r>
      <w:r w:rsidR="00E86D0D">
        <w:rPr>
          <w:sz w:val="20"/>
          <w:szCs w:val="20"/>
        </w:rPr>
        <w:t xml:space="preserve">Vendors may attempt to negotiate new fees for any applicable extension period.  </w:t>
      </w:r>
      <w:r>
        <w:rPr>
          <w:sz w:val="20"/>
          <w:szCs w:val="20"/>
        </w:rPr>
        <w:t>Vendor</w:t>
      </w:r>
      <w:r w:rsidR="00E86D0D">
        <w:rPr>
          <w:sz w:val="20"/>
          <w:szCs w:val="20"/>
        </w:rPr>
        <w:t>s</w:t>
      </w:r>
      <w:r w:rsidRPr="00EF3D0A">
        <w:rPr>
          <w:sz w:val="20"/>
          <w:szCs w:val="20"/>
        </w:rPr>
        <w:t xml:space="preserve"> </w:t>
      </w:r>
      <w:r w:rsidR="00E86D0D">
        <w:rPr>
          <w:sz w:val="20"/>
          <w:szCs w:val="20"/>
        </w:rPr>
        <w:t>that desire to negotiate</w:t>
      </w:r>
      <w:r w:rsidRPr="00EF3D0A">
        <w:rPr>
          <w:sz w:val="20"/>
          <w:szCs w:val="20"/>
        </w:rPr>
        <w:t xml:space="preserve"> revise</w:t>
      </w:r>
      <w:r w:rsidR="005C4F54">
        <w:rPr>
          <w:sz w:val="20"/>
          <w:szCs w:val="20"/>
        </w:rPr>
        <w:t>d</w:t>
      </w:r>
      <w:r w:rsidRPr="00EF3D0A">
        <w:rPr>
          <w:sz w:val="20"/>
          <w:szCs w:val="20"/>
        </w:rPr>
        <w:t xml:space="preserve"> fee</w:t>
      </w:r>
      <w:r w:rsidR="005C4F54">
        <w:rPr>
          <w:sz w:val="20"/>
          <w:szCs w:val="20"/>
        </w:rPr>
        <w:t>s</w:t>
      </w:r>
      <w:r w:rsidRPr="00EF3D0A">
        <w:rPr>
          <w:sz w:val="20"/>
          <w:szCs w:val="20"/>
        </w:rPr>
        <w:t xml:space="preserve"> must give written notice to the State at least 90 days in advance of </w:t>
      </w:r>
      <w:r w:rsidR="005C4F54">
        <w:rPr>
          <w:sz w:val="20"/>
          <w:szCs w:val="20"/>
        </w:rPr>
        <w:t>the expiration of the initial term or applicable extension period</w:t>
      </w:r>
      <w:r w:rsidRPr="00EF3D0A">
        <w:rPr>
          <w:sz w:val="20"/>
          <w:szCs w:val="20"/>
        </w:rPr>
        <w:t xml:space="preserve">. </w:t>
      </w:r>
      <w:r w:rsidR="005C4F54">
        <w:rPr>
          <w:sz w:val="20"/>
          <w:szCs w:val="20"/>
        </w:rPr>
        <w:t xml:space="preserve">Fee increases for any extension period </w:t>
      </w:r>
      <w:r w:rsidRPr="00EF3D0A">
        <w:rPr>
          <w:sz w:val="20"/>
          <w:szCs w:val="20"/>
        </w:rPr>
        <w:t xml:space="preserve">may not exceed </w:t>
      </w:r>
      <w:r w:rsidR="005C4F54">
        <w:rPr>
          <w:sz w:val="20"/>
          <w:szCs w:val="20"/>
        </w:rPr>
        <w:t xml:space="preserve">existing fees adjusted for inflation using </w:t>
      </w:r>
      <w:r w:rsidRPr="00EF3D0A">
        <w:rPr>
          <w:sz w:val="20"/>
          <w:szCs w:val="20"/>
        </w:rPr>
        <w:t>the annual consumer price index-urban (CPI-U).</w:t>
      </w:r>
    </w:p>
    <w:p w14:paraId="63980A00" w14:textId="77777777" w:rsidR="001B0BDF" w:rsidRPr="001B0BDF" w:rsidRDefault="001B0BDF" w:rsidP="00F665BF">
      <w:pPr>
        <w:pStyle w:val="Heading2"/>
        <w:tabs>
          <w:tab w:val="clear" w:pos="2880"/>
        </w:tabs>
        <w:ind w:left="360"/>
      </w:pPr>
      <w:r w:rsidRPr="001B0BDF">
        <w:t>Designated Contacts:</w:t>
      </w:r>
    </w:p>
    <w:p w14:paraId="5AC498FC" w14:textId="77777777" w:rsidR="001B0BDF" w:rsidRPr="001B0BDF" w:rsidRDefault="001B0BDF" w:rsidP="006D4383">
      <w:pPr>
        <w:ind w:left="360"/>
        <w:rPr>
          <w:sz w:val="20"/>
          <w:szCs w:val="20"/>
        </w:rPr>
      </w:pPr>
      <w:proofErr w:type="gramStart"/>
      <w:r w:rsidRPr="001B0BDF">
        <w:rPr>
          <w:sz w:val="20"/>
          <w:szCs w:val="20"/>
        </w:rPr>
        <w:t xml:space="preserve">This RFP process will be managed by the Director of Debt and Cash </w:t>
      </w:r>
      <w:r w:rsidR="00EF74F2" w:rsidRPr="001B0BDF">
        <w:rPr>
          <w:sz w:val="20"/>
          <w:szCs w:val="20"/>
        </w:rPr>
        <w:t>Manage</w:t>
      </w:r>
      <w:r w:rsidR="00EF74F2">
        <w:rPr>
          <w:sz w:val="20"/>
          <w:szCs w:val="20"/>
        </w:rPr>
        <w:t>ment</w:t>
      </w:r>
      <w:r w:rsidR="00EF74F2" w:rsidRPr="001B0BDF">
        <w:rPr>
          <w:sz w:val="20"/>
          <w:szCs w:val="20"/>
        </w:rPr>
        <w:t xml:space="preserve"> </w:t>
      </w:r>
      <w:r w:rsidRPr="001B0BDF">
        <w:rPr>
          <w:sz w:val="20"/>
          <w:szCs w:val="20"/>
        </w:rPr>
        <w:t>(“Designated Contact</w:t>
      </w:r>
      <w:r w:rsidR="00BC78C4">
        <w:rPr>
          <w:sz w:val="20"/>
          <w:szCs w:val="20"/>
        </w:rPr>
        <w:t>s</w:t>
      </w:r>
      <w:r w:rsidRPr="001B0BDF">
        <w:rPr>
          <w:sz w:val="20"/>
          <w:szCs w:val="20"/>
        </w:rPr>
        <w:t>”)</w:t>
      </w:r>
      <w:proofErr w:type="gramEnd"/>
      <w:r w:rsidRPr="001B0BDF">
        <w:rPr>
          <w:sz w:val="20"/>
          <w:szCs w:val="20"/>
        </w:rPr>
        <w:t xml:space="preserve">:  </w:t>
      </w:r>
    </w:p>
    <w:p w14:paraId="432DE678" w14:textId="77777777" w:rsidR="001B0BDF" w:rsidRPr="001B0BDF" w:rsidRDefault="001B0BDF" w:rsidP="001B0BDF">
      <w:pPr>
        <w:ind w:left="360"/>
        <w:rPr>
          <w:sz w:val="20"/>
          <w:szCs w:val="20"/>
        </w:rPr>
      </w:pPr>
    </w:p>
    <w:p w14:paraId="52EF6B26" w14:textId="77777777" w:rsidR="001B0BDF" w:rsidRPr="001B0BDF" w:rsidRDefault="001B0BDF" w:rsidP="001B0BDF">
      <w:pPr>
        <w:ind w:left="360"/>
        <w:rPr>
          <w:sz w:val="20"/>
          <w:szCs w:val="20"/>
        </w:rPr>
      </w:pPr>
      <w:r w:rsidRPr="001B0BDF">
        <w:rPr>
          <w:sz w:val="20"/>
          <w:szCs w:val="20"/>
        </w:rPr>
        <w:t xml:space="preserve">Name: </w:t>
      </w:r>
      <w:r w:rsidRPr="001B0BDF">
        <w:rPr>
          <w:sz w:val="20"/>
          <w:szCs w:val="20"/>
        </w:rPr>
        <w:tab/>
      </w:r>
      <w:r w:rsidRPr="001B0BDF">
        <w:rPr>
          <w:sz w:val="20"/>
          <w:szCs w:val="20"/>
        </w:rPr>
        <w:tab/>
        <w:t>Joshua Berkow</w:t>
      </w:r>
    </w:p>
    <w:p w14:paraId="45EE7DAD" w14:textId="77777777" w:rsidR="001B0BDF" w:rsidRPr="001B0BDF" w:rsidRDefault="001B0BDF" w:rsidP="001B0BDF">
      <w:pPr>
        <w:ind w:left="360"/>
        <w:rPr>
          <w:sz w:val="20"/>
          <w:szCs w:val="20"/>
        </w:rPr>
      </w:pPr>
      <w:r w:rsidRPr="001B0BDF">
        <w:rPr>
          <w:sz w:val="20"/>
          <w:szCs w:val="20"/>
        </w:rPr>
        <w:t xml:space="preserve">Title: </w:t>
      </w:r>
      <w:r w:rsidRPr="001B0BDF">
        <w:rPr>
          <w:sz w:val="20"/>
          <w:szCs w:val="20"/>
        </w:rPr>
        <w:tab/>
      </w:r>
      <w:r w:rsidRPr="001B0BDF">
        <w:rPr>
          <w:sz w:val="20"/>
          <w:szCs w:val="20"/>
        </w:rPr>
        <w:tab/>
        <w:t>Director of Debt and Cash Management</w:t>
      </w:r>
    </w:p>
    <w:p w14:paraId="69582CC3" w14:textId="77777777" w:rsidR="001B0BDF" w:rsidRPr="001B0BDF" w:rsidRDefault="001B0BDF" w:rsidP="001B0BDF">
      <w:pPr>
        <w:ind w:left="360"/>
        <w:rPr>
          <w:sz w:val="20"/>
          <w:szCs w:val="20"/>
        </w:rPr>
      </w:pPr>
      <w:r w:rsidRPr="001B0BDF">
        <w:rPr>
          <w:sz w:val="20"/>
          <w:szCs w:val="20"/>
        </w:rPr>
        <w:t xml:space="preserve">Address: </w:t>
      </w:r>
      <w:r w:rsidRPr="001B0BDF">
        <w:rPr>
          <w:sz w:val="20"/>
          <w:szCs w:val="20"/>
        </w:rPr>
        <w:tab/>
      </w:r>
      <w:r w:rsidRPr="001B0BDF">
        <w:rPr>
          <w:sz w:val="20"/>
          <w:szCs w:val="20"/>
        </w:rPr>
        <w:tab/>
        <w:t>820 Silver Lake Boulevard, Suite 100</w:t>
      </w:r>
    </w:p>
    <w:p w14:paraId="76BA29A6" w14:textId="77777777" w:rsidR="001B0BDF" w:rsidRPr="001B0BDF" w:rsidRDefault="001B0BDF" w:rsidP="001B0BDF">
      <w:pPr>
        <w:ind w:left="360"/>
        <w:rPr>
          <w:sz w:val="20"/>
          <w:szCs w:val="20"/>
        </w:rPr>
      </w:pPr>
      <w:r w:rsidRPr="001B0BDF">
        <w:rPr>
          <w:sz w:val="20"/>
          <w:szCs w:val="20"/>
        </w:rPr>
        <w:t xml:space="preserve">City/State: </w:t>
      </w:r>
      <w:r w:rsidRPr="001B0BDF">
        <w:rPr>
          <w:sz w:val="20"/>
          <w:szCs w:val="20"/>
        </w:rPr>
        <w:tab/>
      </w:r>
      <w:r>
        <w:rPr>
          <w:sz w:val="20"/>
          <w:szCs w:val="20"/>
        </w:rPr>
        <w:tab/>
      </w:r>
      <w:r w:rsidRPr="001B0BDF">
        <w:rPr>
          <w:sz w:val="20"/>
          <w:szCs w:val="20"/>
        </w:rPr>
        <w:t xml:space="preserve">Dover, DE </w:t>
      </w:r>
    </w:p>
    <w:p w14:paraId="5EDCCC53" w14:textId="77777777" w:rsidR="001B0BDF" w:rsidRPr="001B0BDF" w:rsidRDefault="001B0BDF" w:rsidP="001B0BDF">
      <w:pPr>
        <w:ind w:left="360"/>
        <w:rPr>
          <w:sz w:val="20"/>
          <w:szCs w:val="20"/>
        </w:rPr>
      </w:pPr>
      <w:r w:rsidRPr="001B0BDF">
        <w:rPr>
          <w:sz w:val="20"/>
          <w:szCs w:val="20"/>
        </w:rPr>
        <w:t xml:space="preserve">ZIP: </w:t>
      </w:r>
      <w:r w:rsidRPr="001B0BDF">
        <w:rPr>
          <w:sz w:val="20"/>
          <w:szCs w:val="20"/>
        </w:rPr>
        <w:tab/>
      </w:r>
      <w:r w:rsidRPr="001B0BDF">
        <w:rPr>
          <w:sz w:val="20"/>
          <w:szCs w:val="20"/>
        </w:rPr>
        <w:tab/>
        <w:t>19904</w:t>
      </w:r>
    </w:p>
    <w:p w14:paraId="57977247" w14:textId="77777777" w:rsidR="001B0BDF" w:rsidRPr="001B0BDF" w:rsidRDefault="001B0BDF" w:rsidP="001B0BDF">
      <w:pPr>
        <w:ind w:left="360"/>
        <w:rPr>
          <w:rStyle w:val="Hyperlink"/>
          <w:sz w:val="20"/>
          <w:szCs w:val="20"/>
        </w:rPr>
      </w:pPr>
      <w:r w:rsidRPr="001B0BDF">
        <w:rPr>
          <w:sz w:val="20"/>
          <w:szCs w:val="20"/>
        </w:rPr>
        <w:t xml:space="preserve">Email: </w:t>
      </w:r>
      <w:r w:rsidRPr="001B0BDF">
        <w:rPr>
          <w:sz w:val="20"/>
          <w:szCs w:val="20"/>
        </w:rPr>
        <w:tab/>
      </w:r>
      <w:r w:rsidRPr="001B0BDF">
        <w:rPr>
          <w:sz w:val="20"/>
          <w:szCs w:val="20"/>
        </w:rPr>
        <w:tab/>
      </w:r>
      <w:r w:rsidRPr="00897F98">
        <w:rPr>
          <w:rStyle w:val="Hyperlink"/>
          <w:sz w:val="20"/>
          <w:szCs w:val="20"/>
        </w:rPr>
        <w:t>Treasury_RFP@</w:t>
      </w:r>
      <w:r w:rsidR="00E02BE4">
        <w:rPr>
          <w:rStyle w:val="Hyperlink"/>
          <w:sz w:val="20"/>
          <w:szCs w:val="20"/>
        </w:rPr>
        <w:t>delaware.gov</w:t>
      </w:r>
    </w:p>
    <w:p w14:paraId="6807FDBC" w14:textId="77777777" w:rsidR="001B0BDF" w:rsidRPr="001B0BDF" w:rsidRDefault="001B0BDF" w:rsidP="001B0BDF">
      <w:pPr>
        <w:ind w:left="360"/>
        <w:rPr>
          <w:sz w:val="20"/>
          <w:szCs w:val="20"/>
        </w:rPr>
      </w:pPr>
      <w:r w:rsidRPr="001B0BDF">
        <w:rPr>
          <w:rStyle w:val="Hyperlink"/>
          <w:color w:val="auto"/>
          <w:sz w:val="20"/>
          <w:szCs w:val="20"/>
          <w:u w:val="none"/>
        </w:rPr>
        <w:t>Phone:</w:t>
      </w:r>
      <w:r w:rsidRPr="001B0BDF">
        <w:rPr>
          <w:rStyle w:val="Hyperlink"/>
          <w:color w:val="auto"/>
          <w:sz w:val="20"/>
          <w:szCs w:val="20"/>
          <w:u w:val="none"/>
        </w:rPr>
        <w:tab/>
      </w:r>
      <w:r w:rsidRPr="001B0BDF">
        <w:rPr>
          <w:rStyle w:val="Hyperlink"/>
          <w:color w:val="auto"/>
          <w:sz w:val="20"/>
          <w:szCs w:val="20"/>
          <w:u w:val="none"/>
        </w:rPr>
        <w:tab/>
        <w:t>(302) 672-6728</w:t>
      </w:r>
    </w:p>
    <w:p w14:paraId="159DFD60" w14:textId="77777777" w:rsidR="00C14606" w:rsidRPr="001B0BDF" w:rsidRDefault="00C14606" w:rsidP="00F665BF">
      <w:pPr>
        <w:pStyle w:val="Heading2"/>
        <w:tabs>
          <w:tab w:val="clear" w:pos="2880"/>
        </w:tabs>
        <w:ind w:left="360"/>
      </w:pPr>
      <w:r w:rsidRPr="001B0BDF">
        <w:t>Submission of Written Questions</w:t>
      </w:r>
    </w:p>
    <w:p w14:paraId="690E0AD0" w14:textId="21D21D4D" w:rsidR="00C14606" w:rsidRPr="00EB0CED" w:rsidRDefault="00C14606" w:rsidP="00C53136">
      <w:pPr>
        <w:ind w:left="360"/>
        <w:jc w:val="both"/>
        <w:rPr>
          <w:sz w:val="20"/>
          <w:szCs w:val="20"/>
        </w:rPr>
      </w:pPr>
      <w:r w:rsidRPr="00C14606">
        <w:rPr>
          <w:sz w:val="20"/>
          <w:szCs w:val="20"/>
        </w:rPr>
        <w:t>All questions about the RFP sh</w:t>
      </w:r>
      <w:r w:rsidRPr="00EB0CED">
        <w:rPr>
          <w:sz w:val="20"/>
          <w:szCs w:val="20"/>
        </w:rPr>
        <w:t xml:space="preserve">all be submitted </w:t>
      </w:r>
      <w:r w:rsidR="001B0BDF" w:rsidRPr="00EB0CED">
        <w:rPr>
          <w:sz w:val="20"/>
          <w:szCs w:val="20"/>
        </w:rPr>
        <w:t xml:space="preserve">to </w:t>
      </w:r>
      <w:r w:rsidR="004811E6">
        <w:rPr>
          <w:sz w:val="20"/>
          <w:szCs w:val="20"/>
        </w:rPr>
        <w:t xml:space="preserve">the </w:t>
      </w:r>
      <w:r w:rsidR="00C233C8">
        <w:rPr>
          <w:sz w:val="20"/>
          <w:szCs w:val="20"/>
        </w:rPr>
        <w:t>D</w:t>
      </w:r>
      <w:r w:rsidR="001B0BDF" w:rsidRPr="00EB0CED">
        <w:rPr>
          <w:sz w:val="20"/>
          <w:szCs w:val="20"/>
        </w:rPr>
        <w:t xml:space="preserve">esignated </w:t>
      </w:r>
      <w:r w:rsidR="00C233C8">
        <w:rPr>
          <w:sz w:val="20"/>
          <w:szCs w:val="20"/>
        </w:rPr>
        <w:t>C</w:t>
      </w:r>
      <w:r w:rsidR="001B0BDF" w:rsidRPr="00EB0CED">
        <w:rPr>
          <w:sz w:val="20"/>
          <w:szCs w:val="20"/>
        </w:rPr>
        <w:t xml:space="preserve">ontact listed above </w:t>
      </w:r>
      <w:r w:rsidRPr="00EB0CED">
        <w:rPr>
          <w:sz w:val="20"/>
          <w:szCs w:val="20"/>
        </w:rPr>
        <w:t xml:space="preserve">via e-mail by </w:t>
      </w:r>
      <w:r w:rsidR="008F1342">
        <w:rPr>
          <w:sz w:val="20"/>
          <w:szCs w:val="20"/>
        </w:rPr>
        <w:t>4</w:t>
      </w:r>
      <w:r w:rsidRPr="00EB0CED">
        <w:rPr>
          <w:sz w:val="20"/>
          <w:szCs w:val="20"/>
        </w:rPr>
        <w:t>:00 p.m. Eastern Time</w:t>
      </w:r>
      <w:r w:rsidR="00DB7AC5" w:rsidRPr="00EB0CED">
        <w:rPr>
          <w:sz w:val="20"/>
          <w:szCs w:val="20"/>
        </w:rPr>
        <w:t xml:space="preserve"> (ET)</w:t>
      </w:r>
      <w:r w:rsidRPr="00EB0CED">
        <w:rPr>
          <w:sz w:val="20"/>
          <w:szCs w:val="20"/>
        </w:rPr>
        <w:t xml:space="preserve"> on or before </w:t>
      </w:r>
      <w:r w:rsidR="00E2541C" w:rsidRPr="00CC34E6">
        <w:rPr>
          <w:sz w:val="20"/>
          <w:szCs w:val="20"/>
        </w:rPr>
        <w:t>March 1</w:t>
      </w:r>
      <w:r w:rsidR="00C32FF9">
        <w:rPr>
          <w:sz w:val="20"/>
          <w:szCs w:val="20"/>
        </w:rPr>
        <w:t>5</w:t>
      </w:r>
      <w:r w:rsidR="00E2541C" w:rsidRPr="00CC34E6">
        <w:rPr>
          <w:sz w:val="20"/>
          <w:szCs w:val="20"/>
        </w:rPr>
        <w:t>, 2019</w:t>
      </w:r>
      <w:r w:rsidR="001B0BDF" w:rsidRPr="00897F98">
        <w:rPr>
          <w:sz w:val="20"/>
          <w:szCs w:val="20"/>
        </w:rPr>
        <w:t>.</w:t>
      </w:r>
      <w:r w:rsidRPr="00EB0CED">
        <w:rPr>
          <w:sz w:val="20"/>
          <w:szCs w:val="20"/>
        </w:rPr>
        <w:t xml:space="preserve"> </w:t>
      </w:r>
    </w:p>
    <w:p w14:paraId="5AC1BD94" w14:textId="77777777" w:rsidR="001B0BDF" w:rsidRPr="00EB0CED" w:rsidRDefault="001B0BDF" w:rsidP="00C53136">
      <w:pPr>
        <w:ind w:left="360"/>
        <w:jc w:val="both"/>
        <w:rPr>
          <w:sz w:val="20"/>
          <w:szCs w:val="20"/>
        </w:rPr>
      </w:pPr>
    </w:p>
    <w:p w14:paraId="5592C5CF" w14:textId="77777777" w:rsidR="00C14606" w:rsidRPr="00EB0CED" w:rsidRDefault="00C14606" w:rsidP="00C53136">
      <w:pPr>
        <w:ind w:left="360"/>
        <w:jc w:val="both"/>
        <w:rPr>
          <w:sz w:val="20"/>
          <w:szCs w:val="20"/>
        </w:rPr>
      </w:pPr>
      <w:r w:rsidRPr="00EB0CED">
        <w:rPr>
          <w:sz w:val="20"/>
          <w:szCs w:val="20"/>
        </w:rPr>
        <w:t xml:space="preserve">Questions </w:t>
      </w:r>
      <w:proofErr w:type="gramStart"/>
      <w:r w:rsidRPr="00EB0CED">
        <w:rPr>
          <w:sz w:val="20"/>
          <w:szCs w:val="20"/>
        </w:rPr>
        <w:t>should be directly tied to the RFP and asked in consecutive order from beginning to end, following the organization of the RFP</w:t>
      </w:r>
      <w:proofErr w:type="gramEnd"/>
      <w:r w:rsidRPr="00EB0CED">
        <w:rPr>
          <w:sz w:val="20"/>
          <w:szCs w:val="20"/>
        </w:rPr>
        <w:t>. Each question should begin by referencing the RFP page number and subject number to which it relates.</w:t>
      </w:r>
    </w:p>
    <w:p w14:paraId="7ABB7761" w14:textId="77777777" w:rsidR="00C14606" w:rsidRPr="00EB0CED" w:rsidRDefault="00C14606" w:rsidP="00C53136">
      <w:pPr>
        <w:ind w:left="360"/>
        <w:jc w:val="both"/>
        <w:rPr>
          <w:sz w:val="20"/>
          <w:szCs w:val="20"/>
        </w:rPr>
      </w:pPr>
    </w:p>
    <w:p w14:paraId="04DFB4A2" w14:textId="3830B42A" w:rsidR="00C14606" w:rsidRPr="00C14606" w:rsidRDefault="00C14606" w:rsidP="00C53136">
      <w:pPr>
        <w:ind w:left="360"/>
        <w:jc w:val="both"/>
        <w:rPr>
          <w:sz w:val="20"/>
          <w:szCs w:val="20"/>
        </w:rPr>
      </w:pPr>
      <w:r w:rsidRPr="00EB0CED">
        <w:rPr>
          <w:sz w:val="20"/>
          <w:szCs w:val="20"/>
        </w:rPr>
        <w:t xml:space="preserve">The </w:t>
      </w:r>
      <w:r w:rsidRPr="00897F98">
        <w:rPr>
          <w:sz w:val="20"/>
          <w:szCs w:val="20"/>
        </w:rPr>
        <w:t xml:space="preserve">State will provide written responses to questions from prospective </w:t>
      </w:r>
      <w:r w:rsidR="00940C7E" w:rsidRPr="00897F98">
        <w:rPr>
          <w:sz w:val="20"/>
          <w:szCs w:val="20"/>
        </w:rPr>
        <w:t xml:space="preserve">Vendors </w:t>
      </w:r>
      <w:r w:rsidRPr="009745B3">
        <w:rPr>
          <w:sz w:val="20"/>
          <w:szCs w:val="20"/>
        </w:rPr>
        <w:t xml:space="preserve">no later than </w:t>
      </w:r>
      <w:r w:rsidR="009745B3" w:rsidRPr="00CC34E6">
        <w:rPr>
          <w:sz w:val="20"/>
          <w:szCs w:val="20"/>
        </w:rPr>
        <w:t>March 2</w:t>
      </w:r>
      <w:r w:rsidR="00C32FF9">
        <w:rPr>
          <w:sz w:val="20"/>
          <w:szCs w:val="20"/>
        </w:rPr>
        <w:t>2</w:t>
      </w:r>
      <w:r w:rsidR="009745B3" w:rsidRPr="00CC34E6">
        <w:rPr>
          <w:sz w:val="20"/>
          <w:szCs w:val="20"/>
        </w:rPr>
        <w:t>, 2019</w:t>
      </w:r>
      <w:r w:rsidRPr="00897F98">
        <w:rPr>
          <w:sz w:val="20"/>
          <w:szCs w:val="20"/>
        </w:rPr>
        <w:t>.</w:t>
      </w:r>
      <w:r w:rsidR="00C233C8">
        <w:rPr>
          <w:sz w:val="20"/>
          <w:szCs w:val="20"/>
        </w:rPr>
        <w:t xml:space="preserve"> </w:t>
      </w:r>
    </w:p>
    <w:p w14:paraId="15217003" w14:textId="77777777" w:rsidR="006C551B" w:rsidRDefault="006C551B">
      <w:pPr>
        <w:rPr>
          <w:sz w:val="20"/>
          <w:szCs w:val="20"/>
        </w:rPr>
      </w:pPr>
      <w:r>
        <w:rPr>
          <w:sz w:val="20"/>
          <w:szCs w:val="20"/>
        </w:rPr>
        <w:br w:type="page"/>
      </w:r>
    </w:p>
    <w:p w14:paraId="3D413F06" w14:textId="77777777" w:rsidR="00DA79DC" w:rsidRPr="00EF3D0A" w:rsidRDefault="00962363" w:rsidP="006D4383">
      <w:pPr>
        <w:pStyle w:val="Heading1"/>
      </w:pPr>
      <w:r w:rsidRPr="00EF3D0A">
        <w:t>Background</w:t>
      </w:r>
    </w:p>
    <w:p w14:paraId="0B1BA319" w14:textId="77777777" w:rsidR="00FF7789" w:rsidRDefault="00FF7789" w:rsidP="00FF7789">
      <w:pPr>
        <w:ind w:left="720"/>
        <w:rPr>
          <w:b/>
          <w:sz w:val="20"/>
          <w:szCs w:val="20"/>
        </w:rPr>
      </w:pPr>
    </w:p>
    <w:p w14:paraId="3E4CA85C" w14:textId="45495C94" w:rsidR="00AF02D7" w:rsidRPr="00AF02D7" w:rsidRDefault="00AF02D7" w:rsidP="00B64F57">
      <w:pPr>
        <w:jc w:val="both"/>
        <w:rPr>
          <w:sz w:val="20"/>
          <w:szCs w:val="20"/>
        </w:rPr>
      </w:pPr>
      <w:r w:rsidRPr="00AF02D7">
        <w:rPr>
          <w:sz w:val="20"/>
          <w:szCs w:val="20"/>
        </w:rPr>
        <w:t>The CMPB establishes the policies for the investment of all money belonging to the State or on deposit from its political subdivisions (except money deposited in any State Pension Fund or the State Deferred Compensation Program), and approves banking and investment contracts for the State. The CMPB is comprised of Delaware volunteer citizens (financial professionals) appointed by the Governor and confirmed by the General Assembly and ex-offici</w:t>
      </w:r>
      <w:r w:rsidR="005C4F54">
        <w:rPr>
          <w:sz w:val="20"/>
          <w:szCs w:val="20"/>
        </w:rPr>
        <w:t>o</w:t>
      </w:r>
      <w:r w:rsidRPr="00AF02D7">
        <w:rPr>
          <w:sz w:val="20"/>
          <w:szCs w:val="20"/>
        </w:rPr>
        <w:t xml:space="preserve"> government officials (including the State Treasurer). </w:t>
      </w:r>
      <w:r w:rsidR="00B64F57">
        <w:rPr>
          <w:sz w:val="20"/>
          <w:szCs w:val="20"/>
        </w:rPr>
        <w:t>T</w:t>
      </w:r>
      <w:r w:rsidR="00B64F57" w:rsidRPr="00AF02D7">
        <w:rPr>
          <w:sz w:val="20"/>
          <w:szCs w:val="20"/>
        </w:rPr>
        <w:t xml:space="preserve">he policies promulgated by the CMPB </w:t>
      </w:r>
      <w:r w:rsidR="00B64F57">
        <w:rPr>
          <w:sz w:val="20"/>
          <w:szCs w:val="20"/>
        </w:rPr>
        <w:t xml:space="preserve">are </w:t>
      </w:r>
      <w:r w:rsidR="00B64F57" w:rsidRPr="00AF02D7">
        <w:rPr>
          <w:sz w:val="20"/>
          <w:szCs w:val="20"/>
        </w:rPr>
        <w:t xml:space="preserve">set out in the Cash Management Policy Board </w:t>
      </w:r>
      <w:r w:rsidR="00B64F57">
        <w:rPr>
          <w:sz w:val="20"/>
          <w:szCs w:val="20"/>
        </w:rPr>
        <w:t xml:space="preserve">Statement of Objectives and </w:t>
      </w:r>
      <w:r w:rsidR="00B64F57" w:rsidRPr="00AF02D7">
        <w:rPr>
          <w:sz w:val="20"/>
          <w:szCs w:val="20"/>
        </w:rPr>
        <w:t xml:space="preserve">Guidelines </w:t>
      </w:r>
      <w:r w:rsidR="00B64F57">
        <w:rPr>
          <w:sz w:val="20"/>
          <w:szCs w:val="20"/>
        </w:rPr>
        <w:t xml:space="preserve">for the Investment of State of Delaware Funds </w:t>
      </w:r>
      <w:r w:rsidR="00B64F57" w:rsidRPr="00AF02D7">
        <w:rPr>
          <w:sz w:val="20"/>
          <w:szCs w:val="20"/>
        </w:rPr>
        <w:t>(</w:t>
      </w:r>
      <w:r w:rsidR="006C551B">
        <w:rPr>
          <w:sz w:val="20"/>
          <w:szCs w:val="20"/>
        </w:rPr>
        <w:t xml:space="preserve">the </w:t>
      </w:r>
      <w:r w:rsidR="00B64F57" w:rsidRPr="00AF02D7">
        <w:rPr>
          <w:sz w:val="20"/>
          <w:szCs w:val="20"/>
        </w:rPr>
        <w:t>“Guidelines”)</w:t>
      </w:r>
      <w:r w:rsidR="00B64F57">
        <w:rPr>
          <w:sz w:val="20"/>
          <w:szCs w:val="20"/>
        </w:rPr>
        <w:t xml:space="preserve"> </w:t>
      </w:r>
      <w:r w:rsidR="005C4F54">
        <w:rPr>
          <w:sz w:val="20"/>
          <w:szCs w:val="20"/>
        </w:rPr>
        <w:t xml:space="preserve">and </w:t>
      </w:r>
      <w:r w:rsidR="00B64F57">
        <w:rPr>
          <w:sz w:val="20"/>
          <w:szCs w:val="20"/>
        </w:rPr>
        <w:t xml:space="preserve">govern </w:t>
      </w:r>
      <w:r w:rsidR="005C4F54">
        <w:rPr>
          <w:sz w:val="20"/>
          <w:szCs w:val="20"/>
        </w:rPr>
        <w:t>the State’s</w:t>
      </w:r>
      <w:r w:rsidR="005C4F54" w:rsidRPr="00AF02D7">
        <w:rPr>
          <w:sz w:val="20"/>
          <w:szCs w:val="20"/>
        </w:rPr>
        <w:t xml:space="preserve"> </w:t>
      </w:r>
      <w:r w:rsidR="00692B19">
        <w:rPr>
          <w:sz w:val="20"/>
          <w:szCs w:val="20"/>
        </w:rPr>
        <w:t xml:space="preserve">bank accounts and </w:t>
      </w:r>
      <w:r w:rsidRPr="00AF02D7">
        <w:rPr>
          <w:sz w:val="20"/>
          <w:szCs w:val="20"/>
        </w:rPr>
        <w:t>investment portfolio</w:t>
      </w:r>
      <w:r w:rsidR="00692B19">
        <w:rPr>
          <w:sz w:val="20"/>
          <w:szCs w:val="20"/>
        </w:rPr>
        <w:t>s</w:t>
      </w:r>
      <w:r w:rsidR="00B64F57">
        <w:rPr>
          <w:sz w:val="20"/>
          <w:szCs w:val="20"/>
        </w:rPr>
        <w:t xml:space="preserve">. The </w:t>
      </w:r>
      <w:r w:rsidR="00B64F57" w:rsidRPr="00AF02D7">
        <w:rPr>
          <w:sz w:val="20"/>
          <w:szCs w:val="20"/>
        </w:rPr>
        <w:t>Guidelines</w:t>
      </w:r>
      <w:r w:rsidR="00B64F57">
        <w:rPr>
          <w:sz w:val="20"/>
          <w:szCs w:val="20"/>
        </w:rPr>
        <w:t xml:space="preserve"> </w:t>
      </w:r>
      <w:proofErr w:type="gramStart"/>
      <w:r w:rsidR="00B64F57">
        <w:rPr>
          <w:sz w:val="20"/>
          <w:szCs w:val="20"/>
        </w:rPr>
        <w:t>are provided</w:t>
      </w:r>
      <w:proofErr w:type="gramEnd"/>
      <w:r w:rsidR="00B64F57">
        <w:rPr>
          <w:sz w:val="20"/>
          <w:szCs w:val="20"/>
        </w:rPr>
        <w:t xml:space="preserve"> for reference in </w:t>
      </w:r>
      <w:r w:rsidR="00B64F57" w:rsidRPr="00B64F57">
        <w:rPr>
          <w:b/>
          <w:sz w:val="20"/>
          <w:szCs w:val="20"/>
        </w:rPr>
        <w:t>Appendix B</w:t>
      </w:r>
      <w:r w:rsidR="00B64F57" w:rsidRPr="00B64F57">
        <w:rPr>
          <w:sz w:val="20"/>
          <w:szCs w:val="20"/>
        </w:rPr>
        <w:t>.</w:t>
      </w:r>
    </w:p>
    <w:p w14:paraId="1DE3A6B1" w14:textId="77777777" w:rsidR="00AF02D7" w:rsidRPr="00AF02D7" w:rsidRDefault="00AF02D7" w:rsidP="00AF02D7">
      <w:pPr>
        <w:ind w:left="360"/>
        <w:jc w:val="both"/>
        <w:rPr>
          <w:sz w:val="20"/>
          <w:szCs w:val="20"/>
        </w:rPr>
      </w:pPr>
    </w:p>
    <w:p w14:paraId="417EA2E7" w14:textId="77777777" w:rsidR="00AF02D7" w:rsidRPr="00AF02D7" w:rsidRDefault="00AF02D7" w:rsidP="00B64F57">
      <w:pPr>
        <w:jc w:val="both"/>
        <w:rPr>
          <w:sz w:val="20"/>
          <w:szCs w:val="20"/>
        </w:rPr>
      </w:pPr>
      <w:r w:rsidRPr="00AF02D7">
        <w:rPr>
          <w:sz w:val="20"/>
          <w:szCs w:val="20"/>
        </w:rPr>
        <w:t>OST provides the State</w:t>
      </w:r>
      <w:r w:rsidR="002A42B3">
        <w:rPr>
          <w:sz w:val="20"/>
          <w:szCs w:val="20"/>
        </w:rPr>
        <w:t xml:space="preserve"> with</w:t>
      </w:r>
      <w:r w:rsidRPr="00AF02D7">
        <w:rPr>
          <w:sz w:val="20"/>
          <w:szCs w:val="20"/>
        </w:rPr>
        <w:t xml:space="preserve"> transaction and cash management services</w:t>
      </w:r>
      <w:r w:rsidR="002A42B3">
        <w:rPr>
          <w:sz w:val="20"/>
          <w:szCs w:val="20"/>
        </w:rPr>
        <w:t>,</w:t>
      </w:r>
      <w:r w:rsidRPr="00AF02D7">
        <w:rPr>
          <w:sz w:val="20"/>
          <w:szCs w:val="20"/>
        </w:rPr>
        <w:t xml:space="preserve"> ensuring sound fiscal stewardship over financial assets, systems, and processes. OST’s Banking Services Unit (“BSU”) is responsible for the design, implementation, management, and continuous evolution of the </w:t>
      </w:r>
      <w:proofErr w:type="gramStart"/>
      <w:r w:rsidRPr="00AF02D7">
        <w:rPr>
          <w:sz w:val="20"/>
          <w:szCs w:val="20"/>
        </w:rPr>
        <w:t>State’s</w:t>
      </w:r>
      <w:proofErr w:type="gramEnd"/>
      <w:r w:rsidRPr="00AF02D7">
        <w:rPr>
          <w:sz w:val="20"/>
          <w:szCs w:val="20"/>
        </w:rPr>
        <w:t xml:space="preserve"> banking architecture. BSU performs comprehensive assessments to categorize needs from agency clients, selects strategic partners, deploys innovative solutions, secures adequate infrastructures for information exchange and transaction processing, and implements performance standards and benchmarks for increased responsiveness and improved accountability. </w:t>
      </w:r>
    </w:p>
    <w:p w14:paraId="323C4026" w14:textId="77777777" w:rsidR="00AF02D7" w:rsidRPr="00AF02D7" w:rsidRDefault="00AF02D7" w:rsidP="00AF02D7">
      <w:pPr>
        <w:ind w:left="360"/>
        <w:jc w:val="both"/>
        <w:rPr>
          <w:sz w:val="20"/>
          <w:szCs w:val="20"/>
        </w:rPr>
      </w:pPr>
    </w:p>
    <w:p w14:paraId="4C75CF8A" w14:textId="19EBC861" w:rsidR="00AF02D7" w:rsidRPr="00AF02D7" w:rsidRDefault="00AF02D7" w:rsidP="00B64F57">
      <w:pPr>
        <w:jc w:val="both"/>
        <w:rPr>
          <w:sz w:val="20"/>
          <w:szCs w:val="20"/>
        </w:rPr>
      </w:pPr>
      <w:r w:rsidRPr="00AF02D7">
        <w:rPr>
          <w:sz w:val="20"/>
          <w:szCs w:val="20"/>
        </w:rPr>
        <w:t xml:space="preserve">Generally, </w:t>
      </w:r>
      <w:r w:rsidR="001019F7">
        <w:rPr>
          <w:sz w:val="20"/>
          <w:szCs w:val="20"/>
        </w:rPr>
        <w:t xml:space="preserve">OST-procured </w:t>
      </w:r>
      <w:r w:rsidRPr="00AF02D7">
        <w:rPr>
          <w:sz w:val="20"/>
          <w:szCs w:val="20"/>
        </w:rPr>
        <w:t xml:space="preserve">banking services </w:t>
      </w:r>
      <w:proofErr w:type="gramStart"/>
      <w:r w:rsidRPr="00AF02D7">
        <w:rPr>
          <w:sz w:val="20"/>
          <w:szCs w:val="20"/>
        </w:rPr>
        <w:t>are made</w:t>
      </w:r>
      <w:proofErr w:type="gramEnd"/>
      <w:r w:rsidRPr="00AF02D7">
        <w:rPr>
          <w:sz w:val="20"/>
          <w:szCs w:val="20"/>
        </w:rPr>
        <w:t xml:space="preserve"> available to all </w:t>
      </w:r>
      <w:r w:rsidR="001019F7">
        <w:rPr>
          <w:sz w:val="20"/>
          <w:szCs w:val="20"/>
        </w:rPr>
        <w:t xml:space="preserve">departments, agencies, offices, and other entities within the three </w:t>
      </w:r>
      <w:r w:rsidRPr="00AF02D7">
        <w:rPr>
          <w:sz w:val="20"/>
          <w:szCs w:val="20"/>
        </w:rPr>
        <w:t xml:space="preserve">branches of </w:t>
      </w:r>
      <w:r w:rsidR="006C551B">
        <w:rPr>
          <w:sz w:val="20"/>
          <w:szCs w:val="20"/>
        </w:rPr>
        <w:t>S</w:t>
      </w:r>
      <w:r w:rsidR="006C551B" w:rsidRPr="00AF02D7">
        <w:rPr>
          <w:sz w:val="20"/>
          <w:szCs w:val="20"/>
        </w:rPr>
        <w:t xml:space="preserve">tate </w:t>
      </w:r>
      <w:r w:rsidRPr="00AF02D7">
        <w:rPr>
          <w:sz w:val="20"/>
          <w:szCs w:val="20"/>
        </w:rPr>
        <w:t>government</w:t>
      </w:r>
      <w:r w:rsidR="006C551B">
        <w:rPr>
          <w:sz w:val="20"/>
          <w:szCs w:val="20"/>
        </w:rPr>
        <w:t xml:space="preserve"> (executive, legislative and judicial)</w:t>
      </w:r>
      <w:r w:rsidR="007B10C2">
        <w:rPr>
          <w:sz w:val="20"/>
          <w:szCs w:val="20"/>
        </w:rPr>
        <w:t xml:space="preserve">. Other State entities </w:t>
      </w:r>
      <w:r w:rsidR="001019F7">
        <w:rPr>
          <w:sz w:val="20"/>
          <w:szCs w:val="20"/>
        </w:rPr>
        <w:t xml:space="preserve">handling or responsible for State money </w:t>
      </w:r>
      <w:r w:rsidR="007B10C2">
        <w:rPr>
          <w:sz w:val="20"/>
          <w:szCs w:val="20"/>
        </w:rPr>
        <w:t xml:space="preserve">also </w:t>
      </w:r>
      <w:r w:rsidR="007B10C2" w:rsidRPr="00AF02D7">
        <w:rPr>
          <w:sz w:val="20"/>
          <w:szCs w:val="20"/>
        </w:rPr>
        <w:t xml:space="preserve">utilize </w:t>
      </w:r>
      <w:r w:rsidR="001019F7">
        <w:rPr>
          <w:sz w:val="20"/>
          <w:szCs w:val="20"/>
        </w:rPr>
        <w:t>OST-procured</w:t>
      </w:r>
      <w:r w:rsidR="007B10C2">
        <w:rPr>
          <w:sz w:val="20"/>
          <w:szCs w:val="20"/>
        </w:rPr>
        <w:t xml:space="preserve"> </w:t>
      </w:r>
      <w:r w:rsidR="007B10C2" w:rsidRPr="00AF02D7">
        <w:rPr>
          <w:sz w:val="20"/>
          <w:szCs w:val="20"/>
        </w:rPr>
        <w:t>banking services</w:t>
      </w:r>
      <w:r w:rsidR="007B10C2">
        <w:rPr>
          <w:sz w:val="20"/>
          <w:szCs w:val="20"/>
        </w:rPr>
        <w:t xml:space="preserve">, </w:t>
      </w:r>
      <w:r w:rsidR="001019F7">
        <w:rPr>
          <w:sz w:val="20"/>
          <w:szCs w:val="20"/>
        </w:rPr>
        <w:t xml:space="preserve">such as </w:t>
      </w:r>
      <w:r w:rsidR="007B10C2">
        <w:rPr>
          <w:sz w:val="20"/>
          <w:szCs w:val="20"/>
        </w:rPr>
        <w:t xml:space="preserve">public </w:t>
      </w:r>
      <w:r w:rsidR="001019F7">
        <w:rPr>
          <w:sz w:val="20"/>
          <w:szCs w:val="20"/>
        </w:rPr>
        <w:t xml:space="preserve">and charter </w:t>
      </w:r>
      <w:r w:rsidRPr="00AF02D7">
        <w:rPr>
          <w:sz w:val="20"/>
          <w:szCs w:val="20"/>
        </w:rPr>
        <w:t>schools</w:t>
      </w:r>
      <w:r w:rsidR="001019F7">
        <w:rPr>
          <w:sz w:val="20"/>
          <w:szCs w:val="20"/>
        </w:rPr>
        <w:t xml:space="preserve"> and State colleges</w:t>
      </w:r>
      <w:r w:rsidRPr="00AF02D7">
        <w:rPr>
          <w:sz w:val="20"/>
          <w:szCs w:val="20"/>
        </w:rPr>
        <w:t>.</w:t>
      </w:r>
    </w:p>
    <w:p w14:paraId="5EA7C3E3" w14:textId="77777777" w:rsidR="00AF02D7" w:rsidRPr="00AF02D7" w:rsidRDefault="00AF02D7" w:rsidP="00AF02D7">
      <w:pPr>
        <w:ind w:left="360"/>
        <w:jc w:val="both"/>
        <w:rPr>
          <w:sz w:val="20"/>
          <w:szCs w:val="20"/>
        </w:rPr>
      </w:pPr>
    </w:p>
    <w:p w14:paraId="6512C4BD" w14:textId="77777777" w:rsidR="00AF02D7" w:rsidRPr="00AF02D7" w:rsidRDefault="00AF02D7" w:rsidP="00B64F57">
      <w:pPr>
        <w:jc w:val="both"/>
        <w:rPr>
          <w:sz w:val="20"/>
          <w:szCs w:val="20"/>
        </w:rPr>
      </w:pPr>
      <w:r w:rsidRPr="00AF02D7">
        <w:rPr>
          <w:sz w:val="20"/>
          <w:szCs w:val="20"/>
        </w:rPr>
        <w:t xml:space="preserve">In August 2016, BSU convened a Banking Task Force (“Task Force”) to evaluate the State’s current banking architecture. The Task Force </w:t>
      </w:r>
      <w:r w:rsidR="002A42B3">
        <w:rPr>
          <w:sz w:val="20"/>
          <w:szCs w:val="20"/>
        </w:rPr>
        <w:t>was</w:t>
      </w:r>
      <w:r w:rsidRPr="00AF02D7">
        <w:rPr>
          <w:sz w:val="20"/>
          <w:szCs w:val="20"/>
        </w:rPr>
        <w:t xml:space="preserve"> comprised of several key State agencies and financial officers representing significant end users of banking services. Subsequently, in January of 2017, BSU and the Task Force issued an RFP seeking consulting services (</w:t>
      </w:r>
      <w:r w:rsidRPr="008C4BFD">
        <w:rPr>
          <w:b/>
          <w:sz w:val="20"/>
          <w:szCs w:val="20"/>
        </w:rPr>
        <w:t>Contract No. TRE17101-BNKSRVADVS</w:t>
      </w:r>
      <w:r w:rsidRPr="00AF02D7">
        <w:rPr>
          <w:sz w:val="20"/>
          <w:szCs w:val="20"/>
        </w:rPr>
        <w:t xml:space="preserve">). </w:t>
      </w:r>
      <w:proofErr w:type="gramStart"/>
      <w:r w:rsidRPr="00AF02D7">
        <w:rPr>
          <w:sz w:val="20"/>
          <w:szCs w:val="20"/>
        </w:rPr>
        <w:t xml:space="preserve">The scope of work on the engagement included: </w:t>
      </w:r>
      <w:proofErr w:type="spellStart"/>
      <w:r w:rsidRPr="00AF02D7">
        <w:rPr>
          <w:sz w:val="20"/>
          <w:szCs w:val="20"/>
        </w:rPr>
        <w:t>i</w:t>
      </w:r>
      <w:proofErr w:type="spellEnd"/>
      <w:r w:rsidRPr="00AF02D7">
        <w:rPr>
          <w:sz w:val="20"/>
          <w:szCs w:val="20"/>
        </w:rPr>
        <w:t xml:space="preserve">) a structural review of and recommendations regarding the State's existing banking architecture as outlined in </w:t>
      </w:r>
      <w:r w:rsidRPr="008C4BFD">
        <w:rPr>
          <w:b/>
          <w:sz w:val="20"/>
          <w:szCs w:val="20"/>
        </w:rPr>
        <w:t>Appendix C-1</w:t>
      </w:r>
      <w:r w:rsidRPr="00AF02D7">
        <w:rPr>
          <w:sz w:val="20"/>
          <w:szCs w:val="20"/>
        </w:rPr>
        <w:t>, ii) assistance with the procurement process for banking services, iii) development of a vendor management program based on industry best practices, and iv) transition support to give effect to the engagement of new Vendors and/or banking services.</w:t>
      </w:r>
      <w:proofErr w:type="gramEnd"/>
      <w:r w:rsidRPr="00AF02D7">
        <w:rPr>
          <w:sz w:val="20"/>
          <w:szCs w:val="20"/>
        </w:rPr>
        <w:t xml:space="preserve"> </w:t>
      </w:r>
    </w:p>
    <w:p w14:paraId="1C12685F" w14:textId="77777777" w:rsidR="00AF02D7" w:rsidRPr="00AF02D7" w:rsidRDefault="00AF02D7" w:rsidP="00AF02D7">
      <w:pPr>
        <w:ind w:left="360"/>
        <w:jc w:val="both"/>
        <w:rPr>
          <w:sz w:val="20"/>
          <w:szCs w:val="20"/>
        </w:rPr>
      </w:pPr>
    </w:p>
    <w:p w14:paraId="093AB299" w14:textId="77777777" w:rsidR="002A42B3" w:rsidRDefault="00AF02D7" w:rsidP="00B64F57">
      <w:pPr>
        <w:jc w:val="both"/>
        <w:rPr>
          <w:sz w:val="20"/>
          <w:szCs w:val="20"/>
        </w:rPr>
      </w:pPr>
      <w:r w:rsidRPr="00AF02D7">
        <w:rPr>
          <w:sz w:val="20"/>
          <w:szCs w:val="20"/>
        </w:rPr>
        <w:t xml:space="preserve">In order to conduct the study, OST, on behalf of the CMPB, engaged the Consultant in April of 2017. The Consultant worked with OST and State’s agencies and organizations to compile data, analyze available information, and prepare and present final recommendations. In the first quarter of 2018, OST and the Consultant finalized the comprehensive banking architecture analysis and completed presentations with </w:t>
      </w:r>
      <w:r w:rsidR="002A42B3">
        <w:rPr>
          <w:sz w:val="20"/>
          <w:szCs w:val="20"/>
        </w:rPr>
        <w:t>stakeholders</w:t>
      </w:r>
      <w:r w:rsidRPr="00AF02D7">
        <w:rPr>
          <w:sz w:val="20"/>
          <w:szCs w:val="20"/>
        </w:rPr>
        <w:t xml:space="preserve"> to share</w:t>
      </w:r>
      <w:r w:rsidR="00172D69">
        <w:rPr>
          <w:sz w:val="20"/>
          <w:szCs w:val="20"/>
        </w:rPr>
        <w:t xml:space="preserve"> the</w:t>
      </w:r>
      <w:r w:rsidRPr="00AF02D7">
        <w:rPr>
          <w:sz w:val="20"/>
          <w:szCs w:val="20"/>
        </w:rPr>
        <w:t xml:space="preserve"> most relevant findings. </w:t>
      </w:r>
    </w:p>
    <w:p w14:paraId="2BE23FE5" w14:textId="77777777" w:rsidR="002A42B3" w:rsidRDefault="002A42B3" w:rsidP="00B64F57">
      <w:pPr>
        <w:jc w:val="both"/>
        <w:rPr>
          <w:sz w:val="20"/>
          <w:szCs w:val="20"/>
        </w:rPr>
      </w:pPr>
    </w:p>
    <w:p w14:paraId="21BA0365" w14:textId="59F3CDF6" w:rsidR="00AF02D7" w:rsidRPr="00AF02D7" w:rsidRDefault="00AF02D7" w:rsidP="00B64F57">
      <w:pPr>
        <w:jc w:val="both"/>
        <w:rPr>
          <w:sz w:val="20"/>
          <w:szCs w:val="20"/>
        </w:rPr>
      </w:pPr>
      <w:r w:rsidRPr="00AF02D7">
        <w:rPr>
          <w:sz w:val="20"/>
          <w:szCs w:val="20"/>
        </w:rPr>
        <w:t xml:space="preserve">In summary, the State </w:t>
      </w:r>
      <w:r w:rsidR="00193875">
        <w:rPr>
          <w:sz w:val="20"/>
          <w:szCs w:val="20"/>
        </w:rPr>
        <w:t>may be able to conduct</w:t>
      </w:r>
      <w:r w:rsidRPr="00AF02D7">
        <w:rPr>
          <w:sz w:val="20"/>
          <w:szCs w:val="20"/>
        </w:rPr>
        <w:t xml:space="preserve"> its banking business in </w:t>
      </w:r>
      <w:r w:rsidR="00193875">
        <w:rPr>
          <w:sz w:val="20"/>
          <w:szCs w:val="20"/>
        </w:rPr>
        <w:t xml:space="preserve">a more </w:t>
      </w:r>
      <w:r w:rsidRPr="00AF02D7">
        <w:rPr>
          <w:sz w:val="20"/>
          <w:szCs w:val="20"/>
        </w:rPr>
        <w:t>efficient and effective manner</w:t>
      </w:r>
      <w:r w:rsidR="00193875">
        <w:rPr>
          <w:sz w:val="20"/>
          <w:szCs w:val="20"/>
        </w:rPr>
        <w:t xml:space="preserve"> realizing </w:t>
      </w:r>
      <w:r w:rsidRPr="00AF02D7">
        <w:rPr>
          <w:sz w:val="20"/>
          <w:szCs w:val="20"/>
        </w:rPr>
        <w:t>significant cost savings imbedded in the restructuring of the existing contracts</w:t>
      </w:r>
      <w:r w:rsidR="008C4BFD">
        <w:rPr>
          <w:sz w:val="20"/>
          <w:szCs w:val="20"/>
        </w:rPr>
        <w:t>.</w:t>
      </w:r>
      <w:r w:rsidR="00100A14">
        <w:rPr>
          <w:rStyle w:val="FootnoteReference"/>
          <w:sz w:val="20"/>
          <w:szCs w:val="20"/>
        </w:rPr>
        <w:footnoteReference w:id="1"/>
      </w:r>
      <w:r w:rsidR="008C4BFD">
        <w:rPr>
          <w:sz w:val="20"/>
          <w:szCs w:val="20"/>
        </w:rPr>
        <w:t xml:space="preserve"> </w:t>
      </w:r>
      <w:r w:rsidRPr="00AF02D7">
        <w:rPr>
          <w:sz w:val="20"/>
          <w:szCs w:val="20"/>
        </w:rPr>
        <w:t xml:space="preserve">Four overarching themes need to be addressed to improve the delivery of services: the State must: </w:t>
      </w:r>
      <w:proofErr w:type="spellStart"/>
      <w:r w:rsidRPr="00AF02D7">
        <w:rPr>
          <w:sz w:val="20"/>
          <w:szCs w:val="20"/>
        </w:rPr>
        <w:t>i</w:t>
      </w:r>
      <w:proofErr w:type="spellEnd"/>
      <w:r w:rsidRPr="00AF02D7">
        <w:rPr>
          <w:sz w:val="20"/>
          <w:szCs w:val="20"/>
        </w:rPr>
        <w:t>) simplify internal and external strategic and operational banking architectures; ii) review all policies and procedures related to banking governance; iii) assess current and future technological capabilities needed; and iv) identify accountability gaps in both the delivery and utilization of banking services.</w:t>
      </w:r>
    </w:p>
    <w:p w14:paraId="7820ECF0" w14:textId="77777777" w:rsidR="00AF02D7" w:rsidRPr="00AF02D7" w:rsidRDefault="00AF02D7" w:rsidP="00AF02D7">
      <w:pPr>
        <w:ind w:left="360"/>
        <w:jc w:val="both"/>
        <w:rPr>
          <w:sz w:val="20"/>
          <w:szCs w:val="20"/>
        </w:rPr>
      </w:pPr>
    </w:p>
    <w:p w14:paraId="222EBCAF" w14:textId="02B96251" w:rsidR="00AF02D7" w:rsidRPr="007A1EE0" w:rsidRDefault="00AF02D7" w:rsidP="00B64F57">
      <w:pPr>
        <w:jc w:val="both"/>
        <w:rPr>
          <w:sz w:val="20"/>
          <w:szCs w:val="20"/>
        </w:rPr>
      </w:pPr>
      <w:r w:rsidRPr="007A1EE0">
        <w:rPr>
          <w:sz w:val="20"/>
          <w:szCs w:val="20"/>
        </w:rPr>
        <w:t xml:space="preserve">Based on the results of the banking study, the CMPB conditionally adopted the recommendations of the Consultant to amend the banking architecture as depicted in </w:t>
      </w:r>
      <w:r w:rsidRPr="007A1EE0">
        <w:rPr>
          <w:b/>
          <w:sz w:val="20"/>
          <w:szCs w:val="20"/>
        </w:rPr>
        <w:t>Appendix C-2</w:t>
      </w:r>
      <w:r w:rsidRPr="007A1EE0">
        <w:rPr>
          <w:sz w:val="20"/>
          <w:szCs w:val="20"/>
        </w:rPr>
        <w:t xml:space="preserve">. </w:t>
      </w:r>
      <w:r w:rsidR="00032FA4">
        <w:rPr>
          <w:sz w:val="20"/>
          <w:szCs w:val="20"/>
        </w:rPr>
        <w:t>OST subsequently</w:t>
      </w:r>
      <w:r w:rsidRPr="007A1EE0">
        <w:rPr>
          <w:sz w:val="20"/>
          <w:szCs w:val="20"/>
        </w:rPr>
        <w:t xml:space="preserve"> </w:t>
      </w:r>
      <w:r w:rsidR="00C96E17">
        <w:rPr>
          <w:sz w:val="20"/>
          <w:szCs w:val="20"/>
        </w:rPr>
        <w:t>issued</w:t>
      </w:r>
      <w:r w:rsidRPr="007A1EE0">
        <w:rPr>
          <w:sz w:val="20"/>
          <w:szCs w:val="20"/>
        </w:rPr>
        <w:t xml:space="preserve"> a comprehensive banking RFP to seek </w:t>
      </w:r>
      <w:r w:rsidR="002A42B3">
        <w:rPr>
          <w:sz w:val="20"/>
          <w:szCs w:val="20"/>
        </w:rPr>
        <w:t xml:space="preserve">proposals </w:t>
      </w:r>
      <w:r w:rsidRPr="007A1EE0">
        <w:rPr>
          <w:sz w:val="20"/>
          <w:szCs w:val="20"/>
        </w:rPr>
        <w:t xml:space="preserve">from qualified Vendors </w:t>
      </w:r>
      <w:r w:rsidR="002A42B3">
        <w:rPr>
          <w:sz w:val="20"/>
          <w:szCs w:val="20"/>
        </w:rPr>
        <w:t>for</w:t>
      </w:r>
      <w:r w:rsidRPr="007A1EE0">
        <w:rPr>
          <w:sz w:val="20"/>
          <w:szCs w:val="20"/>
        </w:rPr>
        <w:t xml:space="preserve"> banking services</w:t>
      </w:r>
      <w:r w:rsidR="00925254">
        <w:rPr>
          <w:sz w:val="20"/>
          <w:szCs w:val="20"/>
        </w:rPr>
        <w:t>,</w:t>
      </w:r>
      <w:r w:rsidRPr="007A1EE0">
        <w:rPr>
          <w:sz w:val="20"/>
          <w:szCs w:val="20"/>
        </w:rPr>
        <w:t xml:space="preserve"> as well as feedback and critique of the new banking architecture (</w:t>
      </w:r>
      <w:r w:rsidRPr="007A1EE0">
        <w:rPr>
          <w:b/>
          <w:sz w:val="20"/>
          <w:szCs w:val="20"/>
        </w:rPr>
        <w:t>Contract No. TRE18101-BANKINGSVC</w:t>
      </w:r>
      <w:r w:rsidRPr="007A1EE0">
        <w:rPr>
          <w:sz w:val="20"/>
          <w:szCs w:val="20"/>
        </w:rPr>
        <w:t xml:space="preserve">). </w:t>
      </w:r>
      <w:r w:rsidR="00032FA4">
        <w:rPr>
          <w:sz w:val="20"/>
          <w:szCs w:val="20"/>
        </w:rPr>
        <w:t>L</w:t>
      </w:r>
      <w:r w:rsidR="00115D8F">
        <w:rPr>
          <w:sz w:val="20"/>
          <w:szCs w:val="20"/>
        </w:rPr>
        <w:t>ocal branch banking services</w:t>
      </w:r>
      <w:r w:rsidR="002A42B3">
        <w:rPr>
          <w:sz w:val="20"/>
          <w:szCs w:val="20"/>
        </w:rPr>
        <w:t xml:space="preserve"> </w:t>
      </w:r>
      <w:proofErr w:type="gramStart"/>
      <w:r w:rsidR="00115D8F">
        <w:rPr>
          <w:sz w:val="20"/>
          <w:szCs w:val="20"/>
        </w:rPr>
        <w:t xml:space="preserve">were </w:t>
      </w:r>
      <w:r w:rsidR="00032FA4">
        <w:rPr>
          <w:sz w:val="20"/>
          <w:szCs w:val="20"/>
        </w:rPr>
        <w:t xml:space="preserve">expressly </w:t>
      </w:r>
      <w:r w:rsidR="00115D8F">
        <w:rPr>
          <w:sz w:val="20"/>
          <w:szCs w:val="20"/>
        </w:rPr>
        <w:t>excluded</w:t>
      </w:r>
      <w:proofErr w:type="gramEnd"/>
      <w:r w:rsidR="00115D8F">
        <w:rPr>
          <w:sz w:val="20"/>
          <w:szCs w:val="20"/>
        </w:rPr>
        <w:t xml:space="preserve"> from the </w:t>
      </w:r>
      <w:r w:rsidR="00032FA4">
        <w:rPr>
          <w:sz w:val="20"/>
          <w:szCs w:val="20"/>
        </w:rPr>
        <w:t xml:space="preserve">scope of the </w:t>
      </w:r>
      <w:r w:rsidR="00115D8F">
        <w:rPr>
          <w:sz w:val="20"/>
          <w:szCs w:val="20"/>
        </w:rPr>
        <w:t>comprehensive RFP</w:t>
      </w:r>
      <w:r w:rsidR="003F46B8">
        <w:rPr>
          <w:sz w:val="20"/>
          <w:szCs w:val="20"/>
        </w:rPr>
        <w:t>.</w:t>
      </w:r>
    </w:p>
    <w:p w14:paraId="76094509" w14:textId="77777777" w:rsidR="00AF02D7" w:rsidRPr="00844BA2" w:rsidRDefault="00AF02D7" w:rsidP="00AF02D7">
      <w:pPr>
        <w:ind w:left="360"/>
        <w:jc w:val="both"/>
        <w:rPr>
          <w:sz w:val="20"/>
          <w:szCs w:val="20"/>
          <w:highlight w:val="yellow"/>
        </w:rPr>
      </w:pPr>
    </w:p>
    <w:p w14:paraId="5CAA64B3" w14:textId="77777777" w:rsidR="0066325A" w:rsidRDefault="00103EC1" w:rsidP="00B64F57">
      <w:pPr>
        <w:jc w:val="both"/>
        <w:rPr>
          <w:sz w:val="20"/>
          <w:szCs w:val="20"/>
        </w:rPr>
      </w:pPr>
      <w:r w:rsidRPr="007A1EE0">
        <w:rPr>
          <w:sz w:val="20"/>
          <w:szCs w:val="20"/>
        </w:rPr>
        <w:t>The overarching goal of</w:t>
      </w:r>
      <w:r w:rsidR="002A42B3">
        <w:rPr>
          <w:sz w:val="20"/>
          <w:szCs w:val="20"/>
        </w:rPr>
        <w:t xml:space="preserve"> a separate local bank</w:t>
      </w:r>
      <w:r w:rsidRPr="007A1EE0">
        <w:rPr>
          <w:sz w:val="20"/>
          <w:szCs w:val="20"/>
        </w:rPr>
        <w:t xml:space="preserve"> RFP is to engage Vendors that will achieve superior performance </w:t>
      </w:r>
      <w:r w:rsidR="008702EA">
        <w:rPr>
          <w:sz w:val="20"/>
          <w:szCs w:val="20"/>
        </w:rPr>
        <w:t xml:space="preserve">for </w:t>
      </w:r>
      <w:r w:rsidR="000224A1">
        <w:rPr>
          <w:sz w:val="20"/>
          <w:szCs w:val="20"/>
        </w:rPr>
        <w:t>local branch banking</w:t>
      </w:r>
      <w:r w:rsidR="00F22619">
        <w:rPr>
          <w:sz w:val="20"/>
          <w:szCs w:val="20"/>
        </w:rPr>
        <w:t xml:space="preserve"> </w:t>
      </w:r>
      <w:r w:rsidRPr="007A1EE0">
        <w:rPr>
          <w:sz w:val="20"/>
          <w:szCs w:val="20"/>
        </w:rPr>
        <w:t xml:space="preserve">under the State’s proposed new banking architecture </w:t>
      </w:r>
      <w:proofErr w:type="gramStart"/>
      <w:r w:rsidR="0066325A">
        <w:rPr>
          <w:sz w:val="20"/>
          <w:szCs w:val="20"/>
        </w:rPr>
        <w:t>with</w:t>
      </w:r>
      <w:proofErr w:type="gramEnd"/>
      <w:r w:rsidRPr="007A1EE0">
        <w:rPr>
          <w:sz w:val="20"/>
          <w:szCs w:val="20"/>
        </w:rPr>
        <w:t xml:space="preserve">: </w:t>
      </w:r>
    </w:p>
    <w:p w14:paraId="0FE61FBD" w14:textId="77777777" w:rsidR="0066325A" w:rsidRPr="0066325A" w:rsidRDefault="0066325A" w:rsidP="0066325A">
      <w:pPr>
        <w:pStyle w:val="ListParagraph"/>
        <w:numPr>
          <w:ilvl w:val="0"/>
          <w:numId w:val="173"/>
        </w:numPr>
        <w:jc w:val="both"/>
        <w:rPr>
          <w:sz w:val="20"/>
          <w:szCs w:val="20"/>
        </w:rPr>
      </w:pPr>
      <w:r w:rsidRPr="0066325A">
        <w:rPr>
          <w:sz w:val="20"/>
          <w:szCs w:val="20"/>
        </w:rPr>
        <w:t>a branch presence meeting the needs of the State agencies</w:t>
      </w:r>
      <w:r w:rsidR="003C71E6">
        <w:rPr>
          <w:sz w:val="20"/>
          <w:szCs w:val="20"/>
        </w:rPr>
        <w:t>;</w:t>
      </w:r>
    </w:p>
    <w:p w14:paraId="0A5C610B" w14:textId="77777777" w:rsidR="0066325A" w:rsidRDefault="0066325A" w:rsidP="0066325A">
      <w:pPr>
        <w:pStyle w:val="ListParagraph"/>
        <w:numPr>
          <w:ilvl w:val="0"/>
          <w:numId w:val="173"/>
        </w:numPr>
        <w:jc w:val="both"/>
        <w:rPr>
          <w:sz w:val="20"/>
          <w:szCs w:val="20"/>
        </w:rPr>
      </w:pPr>
      <w:r w:rsidRPr="0066325A">
        <w:rPr>
          <w:sz w:val="20"/>
          <w:szCs w:val="20"/>
        </w:rPr>
        <w:t>a customer-centric approach to providing banking services to the State agencies and OST</w:t>
      </w:r>
      <w:r w:rsidR="003C71E6">
        <w:rPr>
          <w:sz w:val="20"/>
          <w:szCs w:val="20"/>
        </w:rPr>
        <w:t>;</w:t>
      </w:r>
      <w:r w:rsidRPr="0066325A">
        <w:rPr>
          <w:sz w:val="20"/>
          <w:szCs w:val="20"/>
        </w:rPr>
        <w:t xml:space="preserve"> and</w:t>
      </w:r>
    </w:p>
    <w:p w14:paraId="15038C22" w14:textId="77777777" w:rsidR="0066325A" w:rsidRPr="0066325A" w:rsidRDefault="003C71E6" w:rsidP="0066325A">
      <w:pPr>
        <w:pStyle w:val="ListParagraph"/>
        <w:numPr>
          <w:ilvl w:val="0"/>
          <w:numId w:val="173"/>
        </w:numPr>
        <w:jc w:val="both"/>
        <w:rPr>
          <w:sz w:val="20"/>
          <w:szCs w:val="20"/>
        </w:rPr>
      </w:pPr>
      <w:proofErr w:type="gramStart"/>
      <w:r>
        <w:rPr>
          <w:sz w:val="20"/>
          <w:szCs w:val="20"/>
        </w:rPr>
        <w:t>adherence</w:t>
      </w:r>
      <w:proofErr w:type="gramEnd"/>
      <w:r>
        <w:rPr>
          <w:sz w:val="20"/>
          <w:szCs w:val="20"/>
        </w:rPr>
        <w:t xml:space="preserve"> to relevan</w:t>
      </w:r>
      <w:r w:rsidR="00731C59">
        <w:rPr>
          <w:sz w:val="20"/>
          <w:szCs w:val="20"/>
        </w:rPr>
        <w:t>t guidelines and administrative</w:t>
      </w:r>
      <w:r>
        <w:rPr>
          <w:sz w:val="20"/>
          <w:szCs w:val="20"/>
        </w:rPr>
        <w:t xml:space="preserve"> procedures as determined by </w:t>
      </w:r>
      <w:r w:rsidR="006A4D74">
        <w:rPr>
          <w:sz w:val="20"/>
          <w:szCs w:val="20"/>
        </w:rPr>
        <w:t>the State</w:t>
      </w:r>
      <w:r>
        <w:rPr>
          <w:sz w:val="20"/>
          <w:szCs w:val="20"/>
        </w:rPr>
        <w:t>.</w:t>
      </w:r>
      <w:r w:rsidR="0066325A" w:rsidRPr="0066325A">
        <w:rPr>
          <w:sz w:val="20"/>
          <w:szCs w:val="20"/>
        </w:rPr>
        <w:t xml:space="preserve"> </w:t>
      </w:r>
    </w:p>
    <w:p w14:paraId="4423C37A" w14:textId="77777777" w:rsidR="0066325A" w:rsidRDefault="0066325A" w:rsidP="00B64F57">
      <w:pPr>
        <w:jc w:val="both"/>
        <w:rPr>
          <w:sz w:val="20"/>
          <w:szCs w:val="20"/>
        </w:rPr>
      </w:pPr>
    </w:p>
    <w:p w14:paraId="2B0EF1F8" w14:textId="391D5CFD" w:rsidR="00103EC1" w:rsidRPr="007A1EE0" w:rsidRDefault="00103EC1" w:rsidP="00B64F57">
      <w:pPr>
        <w:jc w:val="both"/>
        <w:rPr>
          <w:sz w:val="20"/>
          <w:szCs w:val="20"/>
        </w:rPr>
      </w:pPr>
      <w:r w:rsidRPr="007A1EE0">
        <w:rPr>
          <w:sz w:val="20"/>
          <w:szCs w:val="20"/>
        </w:rPr>
        <w:t xml:space="preserve">In conjunction with the provision of </w:t>
      </w:r>
      <w:r w:rsidR="00032FA4">
        <w:rPr>
          <w:sz w:val="20"/>
          <w:szCs w:val="20"/>
        </w:rPr>
        <w:t xml:space="preserve">local </w:t>
      </w:r>
      <w:r w:rsidRPr="007A1EE0">
        <w:rPr>
          <w:sz w:val="20"/>
          <w:szCs w:val="20"/>
        </w:rPr>
        <w:t>banking services, Vendors are required to provide detailed reporting, attend periodic meetings with the State</w:t>
      </w:r>
      <w:r w:rsidR="001925CD">
        <w:rPr>
          <w:sz w:val="20"/>
          <w:szCs w:val="20"/>
        </w:rPr>
        <w:t xml:space="preserve"> </w:t>
      </w:r>
      <w:r w:rsidRPr="007A1EE0">
        <w:rPr>
          <w:sz w:val="20"/>
          <w:szCs w:val="20"/>
        </w:rPr>
        <w:t>and/or the Consultant</w:t>
      </w:r>
      <w:r w:rsidR="00C926A0">
        <w:rPr>
          <w:sz w:val="20"/>
          <w:szCs w:val="20"/>
        </w:rPr>
        <w:t>,</w:t>
      </w:r>
      <w:r w:rsidRPr="007A1EE0">
        <w:rPr>
          <w:sz w:val="20"/>
          <w:szCs w:val="20"/>
        </w:rPr>
        <w:t xml:space="preserve"> and </w:t>
      </w:r>
      <w:r w:rsidR="001925CD">
        <w:rPr>
          <w:sz w:val="20"/>
          <w:szCs w:val="20"/>
        </w:rPr>
        <w:t>assist OST and the CMPB evaluate and</w:t>
      </w:r>
      <w:r w:rsidR="0042257E">
        <w:rPr>
          <w:sz w:val="20"/>
          <w:szCs w:val="20"/>
        </w:rPr>
        <w:t xml:space="preserve"> </w:t>
      </w:r>
      <w:r w:rsidRPr="007A1EE0">
        <w:rPr>
          <w:sz w:val="20"/>
          <w:szCs w:val="20"/>
        </w:rPr>
        <w:t>improve financial and banking processes.</w:t>
      </w:r>
    </w:p>
    <w:p w14:paraId="776577FB" w14:textId="77777777" w:rsidR="00AF02D7" w:rsidRPr="00AF02D7" w:rsidRDefault="00AF02D7" w:rsidP="00CC34E6">
      <w:pPr>
        <w:jc w:val="both"/>
        <w:rPr>
          <w:sz w:val="20"/>
          <w:szCs w:val="20"/>
        </w:rPr>
      </w:pPr>
    </w:p>
    <w:p w14:paraId="0AB8BD91" w14:textId="77777777" w:rsidR="00591B45" w:rsidRPr="00636AE3" w:rsidRDefault="005F3FDE" w:rsidP="006D4383">
      <w:pPr>
        <w:pStyle w:val="Heading1"/>
      </w:pPr>
      <w:r w:rsidRPr="00636AE3">
        <w:t>Scope of Services</w:t>
      </w:r>
    </w:p>
    <w:p w14:paraId="6C4D0E02" w14:textId="77777777" w:rsidR="002C2CBA" w:rsidRPr="00636AE3" w:rsidRDefault="002C2CBA" w:rsidP="005F0693">
      <w:pPr>
        <w:ind w:left="720"/>
        <w:rPr>
          <w:b/>
          <w:color w:val="FF0000"/>
          <w:sz w:val="20"/>
          <w:szCs w:val="20"/>
        </w:rPr>
      </w:pPr>
    </w:p>
    <w:p w14:paraId="631F549E" w14:textId="77777777" w:rsidR="00D677D8" w:rsidRPr="00636AE3" w:rsidRDefault="00D677D8" w:rsidP="00D664D7">
      <w:pPr>
        <w:pStyle w:val="PlainText"/>
        <w:jc w:val="both"/>
        <w:rPr>
          <w:rFonts w:ascii="Arial" w:hAnsi="Arial" w:cs="Arial"/>
        </w:rPr>
      </w:pPr>
      <w:r w:rsidRPr="00636AE3">
        <w:rPr>
          <w:rFonts w:ascii="Arial" w:hAnsi="Arial" w:cs="Arial"/>
        </w:rPr>
        <w:t xml:space="preserve">Detailed requirements for the Scope of Services requested pursuant to this RFP are set out in </w:t>
      </w:r>
      <w:r w:rsidRPr="00636AE3">
        <w:rPr>
          <w:rFonts w:ascii="Arial" w:hAnsi="Arial" w:cs="Arial"/>
          <w:b/>
        </w:rPr>
        <w:t xml:space="preserve">Appendix </w:t>
      </w:r>
      <w:r w:rsidR="00A97848" w:rsidRPr="00636AE3">
        <w:rPr>
          <w:rFonts w:ascii="Arial" w:hAnsi="Arial" w:cs="Arial"/>
          <w:b/>
        </w:rPr>
        <w:t>A</w:t>
      </w:r>
      <w:r w:rsidRPr="00636AE3">
        <w:rPr>
          <w:rFonts w:ascii="Arial" w:hAnsi="Arial" w:cs="Arial"/>
        </w:rPr>
        <w:t xml:space="preserve">.  </w:t>
      </w:r>
      <w:r w:rsidR="00CE01E2" w:rsidRPr="00636AE3">
        <w:rPr>
          <w:rFonts w:ascii="Arial" w:hAnsi="Arial" w:cs="Arial"/>
        </w:rPr>
        <w:t xml:space="preserve">A brief description of </w:t>
      </w:r>
      <w:r w:rsidR="00B30AB0" w:rsidRPr="00636AE3">
        <w:rPr>
          <w:rFonts w:ascii="Arial" w:hAnsi="Arial" w:cs="Arial"/>
        </w:rPr>
        <w:t>the requested services</w:t>
      </w:r>
      <w:r w:rsidR="004005ED" w:rsidRPr="00636AE3">
        <w:rPr>
          <w:rFonts w:ascii="Arial" w:hAnsi="Arial" w:cs="Arial"/>
        </w:rPr>
        <w:t xml:space="preserve"> </w:t>
      </w:r>
      <w:proofErr w:type="gramStart"/>
      <w:r w:rsidR="004005ED" w:rsidRPr="00636AE3">
        <w:rPr>
          <w:rFonts w:ascii="Arial" w:hAnsi="Arial" w:cs="Arial"/>
        </w:rPr>
        <w:t>is provided</w:t>
      </w:r>
      <w:proofErr w:type="gramEnd"/>
      <w:r w:rsidR="004005ED" w:rsidRPr="00636AE3">
        <w:rPr>
          <w:rFonts w:ascii="Arial" w:hAnsi="Arial" w:cs="Arial"/>
        </w:rPr>
        <w:t xml:space="preserve"> below.</w:t>
      </w:r>
    </w:p>
    <w:p w14:paraId="43FE0ED6" w14:textId="77777777" w:rsidR="00882D37" w:rsidRDefault="00882D37" w:rsidP="00936436">
      <w:pPr>
        <w:tabs>
          <w:tab w:val="left" w:pos="400"/>
        </w:tabs>
        <w:jc w:val="both"/>
        <w:rPr>
          <w:b/>
          <w:sz w:val="20"/>
          <w:szCs w:val="20"/>
        </w:rPr>
      </w:pPr>
    </w:p>
    <w:p w14:paraId="048BEEA1" w14:textId="3F77D13F" w:rsidR="004005ED" w:rsidRDefault="00B30AB0" w:rsidP="00936436">
      <w:pPr>
        <w:tabs>
          <w:tab w:val="left" w:pos="400"/>
        </w:tabs>
        <w:jc w:val="both"/>
        <w:rPr>
          <w:sz w:val="20"/>
          <w:szCs w:val="20"/>
        </w:rPr>
      </w:pPr>
      <w:r w:rsidRPr="00636AE3">
        <w:rPr>
          <w:b/>
          <w:sz w:val="20"/>
          <w:szCs w:val="20"/>
        </w:rPr>
        <w:t xml:space="preserve">Local </w:t>
      </w:r>
      <w:r w:rsidR="004005ED" w:rsidRPr="00636AE3">
        <w:rPr>
          <w:b/>
          <w:sz w:val="20"/>
          <w:szCs w:val="20"/>
        </w:rPr>
        <w:t xml:space="preserve">Banking. </w:t>
      </w:r>
      <w:r w:rsidR="00387241">
        <w:rPr>
          <w:sz w:val="20"/>
          <w:szCs w:val="20"/>
        </w:rPr>
        <w:t>Many</w:t>
      </w:r>
      <w:r w:rsidR="005817F7" w:rsidRPr="00636AE3">
        <w:rPr>
          <w:sz w:val="20"/>
          <w:szCs w:val="20"/>
        </w:rPr>
        <w:t xml:space="preserve"> </w:t>
      </w:r>
      <w:r w:rsidR="00936436" w:rsidRPr="00636AE3">
        <w:rPr>
          <w:sz w:val="20"/>
          <w:szCs w:val="20"/>
        </w:rPr>
        <w:t xml:space="preserve">State </w:t>
      </w:r>
      <w:r w:rsidR="00964026">
        <w:rPr>
          <w:sz w:val="20"/>
          <w:szCs w:val="20"/>
        </w:rPr>
        <w:t xml:space="preserve">entities </w:t>
      </w:r>
      <w:r w:rsidR="00B63AFA">
        <w:rPr>
          <w:sz w:val="20"/>
          <w:szCs w:val="20"/>
        </w:rPr>
        <w:t xml:space="preserve">deposit funds into a primary OTC collections account. This account activity </w:t>
      </w:r>
      <w:proofErr w:type="gramStart"/>
      <w:r w:rsidR="00B63AFA">
        <w:rPr>
          <w:sz w:val="20"/>
          <w:szCs w:val="20"/>
        </w:rPr>
        <w:t>is recorded</w:t>
      </w:r>
      <w:proofErr w:type="gramEnd"/>
      <w:r w:rsidR="00B63AFA">
        <w:rPr>
          <w:sz w:val="20"/>
          <w:szCs w:val="20"/>
        </w:rPr>
        <w:t xml:space="preserve"> in the State’s </w:t>
      </w:r>
      <w:r w:rsidR="003C095E">
        <w:rPr>
          <w:sz w:val="20"/>
          <w:szCs w:val="20"/>
        </w:rPr>
        <w:t>accounting system</w:t>
      </w:r>
      <w:r w:rsidR="00B63AFA">
        <w:rPr>
          <w:sz w:val="20"/>
          <w:szCs w:val="20"/>
        </w:rPr>
        <w:t xml:space="preserve">, </w:t>
      </w:r>
      <w:r w:rsidR="00964026">
        <w:rPr>
          <w:sz w:val="20"/>
          <w:szCs w:val="20"/>
        </w:rPr>
        <w:t>First State Financials (“</w:t>
      </w:r>
      <w:r w:rsidR="00B63AFA">
        <w:rPr>
          <w:sz w:val="20"/>
          <w:szCs w:val="20"/>
        </w:rPr>
        <w:t>FSF</w:t>
      </w:r>
      <w:r w:rsidR="00964026">
        <w:rPr>
          <w:sz w:val="20"/>
          <w:szCs w:val="20"/>
        </w:rPr>
        <w:t>”)</w:t>
      </w:r>
      <w:r w:rsidR="00B63AFA">
        <w:rPr>
          <w:sz w:val="20"/>
          <w:szCs w:val="20"/>
        </w:rPr>
        <w:t xml:space="preserve">, and is reconciled by OST. Additionally, many agencies </w:t>
      </w:r>
      <w:r w:rsidR="00387241">
        <w:rPr>
          <w:sz w:val="20"/>
          <w:szCs w:val="20"/>
        </w:rPr>
        <w:t>maintain</w:t>
      </w:r>
      <w:r w:rsidR="00936436" w:rsidRPr="00636AE3">
        <w:rPr>
          <w:sz w:val="20"/>
          <w:szCs w:val="20"/>
        </w:rPr>
        <w:t xml:space="preserve"> stand</w:t>
      </w:r>
      <w:r w:rsidR="00387241">
        <w:rPr>
          <w:sz w:val="20"/>
          <w:szCs w:val="20"/>
        </w:rPr>
        <w:t>-</w:t>
      </w:r>
      <w:r w:rsidR="00936436" w:rsidRPr="00636AE3">
        <w:rPr>
          <w:sz w:val="20"/>
          <w:szCs w:val="20"/>
        </w:rPr>
        <w:t xml:space="preserve">alone bank accounts </w:t>
      </w:r>
      <w:r w:rsidR="003C095E">
        <w:rPr>
          <w:sz w:val="20"/>
          <w:szCs w:val="20"/>
        </w:rPr>
        <w:t>with various</w:t>
      </w:r>
      <w:r w:rsidR="00387241" w:rsidRPr="00636AE3">
        <w:rPr>
          <w:sz w:val="20"/>
          <w:szCs w:val="20"/>
        </w:rPr>
        <w:t xml:space="preserve"> </w:t>
      </w:r>
      <w:r w:rsidR="00936436" w:rsidRPr="00636AE3">
        <w:rPr>
          <w:sz w:val="20"/>
          <w:szCs w:val="20"/>
        </w:rPr>
        <w:t xml:space="preserve">financial </w:t>
      </w:r>
      <w:r w:rsidR="00636AE3" w:rsidRPr="00636AE3">
        <w:rPr>
          <w:sz w:val="20"/>
          <w:szCs w:val="20"/>
        </w:rPr>
        <w:t>institutions</w:t>
      </w:r>
      <w:r w:rsidR="00936436" w:rsidRPr="00636AE3">
        <w:rPr>
          <w:sz w:val="20"/>
          <w:szCs w:val="20"/>
        </w:rPr>
        <w:t xml:space="preserve"> throughout the State.</w:t>
      </w:r>
      <w:r w:rsidR="00882D37">
        <w:rPr>
          <w:sz w:val="20"/>
          <w:szCs w:val="20"/>
        </w:rPr>
        <w:t xml:space="preserve"> </w:t>
      </w:r>
      <w:r w:rsidR="00B63AFA">
        <w:rPr>
          <w:sz w:val="20"/>
          <w:szCs w:val="20"/>
        </w:rPr>
        <w:t xml:space="preserve">These accounts </w:t>
      </w:r>
      <w:proofErr w:type="gramStart"/>
      <w:r w:rsidR="00B63AFA">
        <w:rPr>
          <w:sz w:val="20"/>
          <w:szCs w:val="20"/>
        </w:rPr>
        <w:t>are not recorded</w:t>
      </w:r>
      <w:proofErr w:type="gramEnd"/>
      <w:r w:rsidR="00B63AFA">
        <w:rPr>
          <w:sz w:val="20"/>
          <w:szCs w:val="20"/>
        </w:rPr>
        <w:t xml:space="preserve"> in FSF, and are </w:t>
      </w:r>
      <w:r w:rsidR="003C095E">
        <w:rPr>
          <w:sz w:val="20"/>
          <w:szCs w:val="20"/>
        </w:rPr>
        <w:t xml:space="preserve">independently </w:t>
      </w:r>
      <w:r w:rsidR="00B63AFA">
        <w:rPr>
          <w:sz w:val="20"/>
          <w:szCs w:val="20"/>
        </w:rPr>
        <w:t>reconciled by the</w:t>
      </w:r>
      <w:r w:rsidR="003C095E">
        <w:rPr>
          <w:sz w:val="20"/>
          <w:szCs w:val="20"/>
        </w:rPr>
        <w:t>ir</w:t>
      </w:r>
      <w:r w:rsidR="00B63AFA">
        <w:rPr>
          <w:sz w:val="20"/>
          <w:szCs w:val="20"/>
        </w:rPr>
        <w:t xml:space="preserve"> respective agencies. </w:t>
      </w:r>
      <w:r w:rsidR="00882D37">
        <w:rPr>
          <w:sz w:val="20"/>
          <w:szCs w:val="20"/>
        </w:rPr>
        <w:t>Currently, t</w:t>
      </w:r>
      <w:r w:rsidR="00936436" w:rsidRPr="00636AE3">
        <w:rPr>
          <w:sz w:val="20"/>
          <w:szCs w:val="20"/>
        </w:rPr>
        <w:t xml:space="preserve">hese “outside bank accounts” </w:t>
      </w:r>
      <w:r w:rsidR="00882D37">
        <w:rPr>
          <w:sz w:val="20"/>
          <w:szCs w:val="20"/>
        </w:rPr>
        <w:t>reside</w:t>
      </w:r>
      <w:r w:rsidR="00936436" w:rsidRPr="00636AE3">
        <w:rPr>
          <w:sz w:val="20"/>
          <w:szCs w:val="20"/>
        </w:rPr>
        <w:t xml:space="preserve"> </w:t>
      </w:r>
      <w:r w:rsidR="00882D37">
        <w:rPr>
          <w:sz w:val="20"/>
          <w:szCs w:val="20"/>
        </w:rPr>
        <w:t>with</w:t>
      </w:r>
      <w:r w:rsidR="00936436" w:rsidRPr="00636AE3">
        <w:rPr>
          <w:sz w:val="20"/>
          <w:szCs w:val="20"/>
        </w:rPr>
        <w:t xml:space="preserve"> </w:t>
      </w:r>
      <w:r w:rsidR="00C871EA">
        <w:rPr>
          <w:sz w:val="20"/>
          <w:szCs w:val="20"/>
        </w:rPr>
        <w:t xml:space="preserve">14 </w:t>
      </w:r>
      <w:r w:rsidR="00936436" w:rsidRPr="00636AE3">
        <w:rPr>
          <w:sz w:val="20"/>
          <w:szCs w:val="20"/>
        </w:rPr>
        <w:t xml:space="preserve">different banks and </w:t>
      </w:r>
      <w:proofErr w:type="gramStart"/>
      <w:r w:rsidR="00936436" w:rsidRPr="00636AE3">
        <w:rPr>
          <w:sz w:val="20"/>
          <w:szCs w:val="20"/>
        </w:rPr>
        <w:t>are used</w:t>
      </w:r>
      <w:proofErr w:type="gramEnd"/>
      <w:r w:rsidR="003C095E">
        <w:rPr>
          <w:sz w:val="20"/>
          <w:szCs w:val="20"/>
        </w:rPr>
        <w:t xml:space="preserve"> primarily</w:t>
      </w:r>
      <w:r w:rsidR="00936436" w:rsidRPr="00636AE3">
        <w:rPr>
          <w:sz w:val="20"/>
          <w:szCs w:val="20"/>
        </w:rPr>
        <w:t xml:space="preserve"> for </w:t>
      </w:r>
      <w:r w:rsidR="00B0786D">
        <w:rPr>
          <w:sz w:val="20"/>
          <w:szCs w:val="20"/>
        </w:rPr>
        <w:t>depositing</w:t>
      </w:r>
      <w:r w:rsidR="00936436" w:rsidRPr="00636AE3">
        <w:rPr>
          <w:sz w:val="20"/>
          <w:szCs w:val="20"/>
        </w:rPr>
        <w:t xml:space="preserve"> coin, currency and checks. In aggregate, there are approximately 300 </w:t>
      </w:r>
      <w:r w:rsidR="00B0786D">
        <w:rPr>
          <w:sz w:val="20"/>
          <w:szCs w:val="20"/>
        </w:rPr>
        <w:t xml:space="preserve">of these </w:t>
      </w:r>
      <w:r w:rsidR="00936436" w:rsidRPr="00636AE3">
        <w:rPr>
          <w:sz w:val="20"/>
          <w:szCs w:val="20"/>
        </w:rPr>
        <w:t xml:space="preserve">accounts used by State </w:t>
      </w:r>
      <w:r w:rsidR="00964026">
        <w:rPr>
          <w:sz w:val="20"/>
          <w:szCs w:val="20"/>
        </w:rPr>
        <w:t>entities</w:t>
      </w:r>
      <w:r w:rsidR="00936436" w:rsidRPr="00636AE3">
        <w:rPr>
          <w:sz w:val="20"/>
          <w:szCs w:val="20"/>
        </w:rPr>
        <w:t xml:space="preserve">. Of the 300 accounts, approximately </w:t>
      </w:r>
      <w:r w:rsidR="00C871EA">
        <w:rPr>
          <w:sz w:val="20"/>
          <w:szCs w:val="20"/>
        </w:rPr>
        <w:t>130</w:t>
      </w:r>
      <w:r w:rsidR="00936436" w:rsidRPr="00636AE3">
        <w:rPr>
          <w:sz w:val="20"/>
          <w:szCs w:val="20"/>
        </w:rPr>
        <w:t xml:space="preserve"> also have limited check disbursement </w:t>
      </w:r>
      <w:r w:rsidR="00CB6511">
        <w:rPr>
          <w:sz w:val="20"/>
          <w:szCs w:val="20"/>
        </w:rPr>
        <w:t>capabilities</w:t>
      </w:r>
      <w:r w:rsidR="00936436" w:rsidRPr="00636AE3">
        <w:rPr>
          <w:sz w:val="20"/>
          <w:szCs w:val="20"/>
        </w:rPr>
        <w:t xml:space="preserve">.  </w:t>
      </w:r>
    </w:p>
    <w:p w14:paraId="074E4386" w14:textId="77777777" w:rsidR="00936436" w:rsidRDefault="00936436" w:rsidP="00936436">
      <w:pPr>
        <w:tabs>
          <w:tab w:val="left" w:pos="400"/>
        </w:tabs>
        <w:jc w:val="both"/>
        <w:rPr>
          <w:sz w:val="20"/>
          <w:szCs w:val="20"/>
        </w:rPr>
      </w:pPr>
    </w:p>
    <w:p w14:paraId="60812586" w14:textId="72A32524" w:rsidR="00936436" w:rsidRPr="00000373" w:rsidRDefault="00494D80" w:rsidP="00936436">
      <w:pPr>
        <w:tabs>
          <w:tab w:val="left" w:pos="400"/>
        </w:tabs>
        <w:jc w:val="both"/>
        <w:rPr>
          <w:sz w:val="20"/>
          <w:szCs w:val="20"/>
        </w:rPr>
      </w:pPr>
      <w:r>
        <w:rPr>
          <w:sz w:val="20"/>
          <w:szCs w:val="20"/>
        </w:rPr>
        <w:t>Although OST is seeking to centralize certain banking services (i.e. remote deposit capture, centralized check disbursements, electronic transactions)</w:t>
      </w:r>
      <w:r w:rsidR="00181547">
        <w:rPr>
          <w:sz w:val="20"/>
          <w:szCs w:val="20"/>
        </w:rPr>
        <w:t xml:space="preserve"> through its primary banking services provider</w:t>
      </w:r>
      <w:r w:rsidR="00897F98">
        <w:rPr>
          <w:sz w:val="20"/>
          <w:szCs w:val="20"/>
        </w:rPr>
        <w:t>,</w:t>
      </w:r>
      <w:r>
        <w:rPr>
          <w:sz w:val="20"/>
          <w:szCs w:val="20"/>
        </w:rPr>
        <w:t xml:space="preserve"> </w:t>
      </w:r>
      <w:r w:rsidR="00882D37">
        <w:rPr>
          <w:sz w:val="20"/>
          <w:szCs w:val="20"/>
        </w:rPr>
        <w:t xml:space="preserve">and thereby reduce the </w:t>
      </w:r>
      <w:r w:rsidR="00B0786D">
        <w:rPr>
          <w:sz w:val="20"/>
          <w:szCs w:val="20"/>
        </w:rPr>
        <w:t xml:space="preserve">long-term </w:t>
      </w:r>
      <w:r w:rsidR="00882D37">
        <w:rPr>
          <w:sz w:val="20"/>
          <w:szCs w:val="20"/>
        </w:rPr>
        <w:t xml:space="preserve">need for local banking services, </w:t>
      </w:r>
      <w:r w:rsidR="00B0786D">
        <w:rPr>
          <w:sz w:val="20"/>
          <w:szCs w:val="20"/>
        </w:rPr>
        <w:t>the State will continue to require</w:t>
      </w:r>
      <w:r>
        <w:rPr>
          <w:sz w:val="20"/>
          <w:szCs w:val="20"/>
        </w:rPr>
        <w:t xml:space="preserve"> physical bank branches for State </w:t>
      </w:r>
      <w:r w:rsidR="00964026">
        <w:rPr>
          <w:sz w:val="20"/>
          <w:szCs w:val="20"/>
        </w:rPr>
        <w:t xml:space="preserve">entities </w:t>
      </w:r>
      <w:r>
        <w:rPr>
          <w:sz w:val="20"/>
          <w:szCs w:val="20"/>
        </w:rPr>
        <w:t xml:space="preserve">to make periodic deposits. </w:t>
      </w:r>
    </w:p>
    <w:p w14:paraId="55896836" w14:textId="77777777" w:rsidR="00161351" w:rsidRDefault="00161351" w:rsidP="00161351">
      <w:pPr>
        <w:tabs>
          <w:tab w:val="left" w:pos="1260"/>
          <w:tab w:val="left" w:pos="1440"/>
        </w:tabs>
        <w:ind w:left="1080"/>
        <w:jc w:val="both"/>
      </w:pPr>
    </w:p>
    <w:p w14:paraId="136FB3FD" w14:textId="47F0E5D4" w:rsidR="00CB6511" w:rsidRDefault="00494D80" w:rsidP="00CB6511">
      <w:pPr>
        <w:tabs>
          <w:tab w:val="left" w:pos="400"/>
        </w:tabs>
        <w:jc w:val="both"/>
        <w:rPr>
          <w:sz w:val="20"/>
          <w:szCs w:val="20"/>
        </w:rPr>
      </w:pPr>
      <w:r w:rsidRPr="00494D80">
        <w:rPr>
          <w:sz w:val="20"/>
          <w:szCs w:val="20"/>
        </w:rPr>
        <w:t xml:space="preserve">Through this RFP, </w:t>
      </w:r>
      <w:r w:rsidR="00CB6511">
        <w:rPr>
          <w:sz w:val="20"/>
          <w:szCs w:val="20"/>
        </w:rPr>
        <w:t>t</w:t>
      </w:r>
      <w:r w:rsidR="00CB6511" w:rsidRPr="007E3A7B">
        <w:rPr>
          <w:sz w:val="20"/>
          <w:szCs w:val="20"/>
        </w:rPr>
        <w:t xml:space="preserve">he State intends to </w:t>
      </w:r>
      <w:r w:rsidR="00CB6511">
        <w:rPr>
          <w:sz w:val="20"/>
          <w:szCs w:val="20"/>
        </w:rPr>
        <w:t xml:space="preserve">issue a </w:t>
      </w:r>
      <w:r w:rsidR="00964026">
        <w:rPr>
          <w:sz w:val="20"/>
          <w:szCs w:val="20"/>
        </w:rPr>
        <w:t>single</w:t>
      </w:r>
      <w:r w:rsidR="00CB6511">
        <w:rPr>
          <w:sz w:val="20"/>
          <w:szCs w:val="20"/>
        </w:rPr>
        <w:t xml:space="preserve"> award </w:t>
      </w:r>
      <w:r w:rsidR="00964026">
        <w:rPr>
          <w:sz w:val="20"/>
          <w:szCs w:val="20"/>
        </w:rPr>
        <w:t xml:space="preserve">to a Vendor to </w:t>
      </w:r>
      <w:proofErr w:type="gramStart"/>
      <w:r w:rsidR="00964026">
        <w:rPr>
          <w:sz w:val="20"/>
          <w:szCs w:val="20"/>
        </w:rPr>
        <w:t>serve</w:t>
      </w:r>
      <w:proofErr w:type="gramEnd"/>
      <w:r w:rsidR="00964026">
        <w:rPr>
          <w:sz w:val="20"/>
          <w:szCs w:val="20"/>
        </w:rPr>
        <w:t xml:space="preserve"> as </w:t>
      </w:r>
      <w:r w:rsidR="00CB6511">
        <w:rPr>
          <w:sz w:val="20"/>
          <w:szCs w:val="20"/>
        </w:rPr>
        <w:t xml:space="preserve">the </w:t>
      </w:r>
      <w:r w:rsidR="00964026">
        <w:rPr>
          <w:sz w:val="20"/>
          <w:szCs w:val="20"/>
        </w:rPr>
        <w:t xml:space="preserve">State’s </w:t>
      </w:r>
      <w:r w:rsidR="00CB6511">
        <w:rPr>
          <w:sz w:val="20"/>
          <w:szCs w:val="20"/>
        </w:rPr>
        <w:t>primary</w:t>
      </w:r>
      <w:r w:rsidR="00964026">
        <w:rPr>
          <w:sz w:val="20"/>
          <w:szCs w:val="20"/>
        </w:rPr>
        <w:t>, but not exclusive,</w:t>
      </w:r>
      <w:r w:rsidR="00E60042">
        <w:rPr>
          <w:sz w:val="20"/>
          <w:szCs w:val="20"/>
        </w:rPr>
        <w:t xml:space="preserve"> </w:t>
      </w:r>
      <w:r w:rsidR="00CB6511">
        <w:rPr>
          <w:sz w:val="20"/>
          <w:szCs w:val="20"/>
        </w:rPr>
        <w:t xml:space="preserve">OTC </w:t>
      </w:r>
      <w:r w:rsidR="00964026">
        <w:rPr>
          <w:sz w:val="20"/>
          <w:szCs w:val="20"/>
        </w:rPr>
        <w:t xml:space="preserve">bank. The State </w:t>
      </w:r>
      <w:r w:rsidR="0026745B">
        <w:rPr>
          <w:sz w:val="20"/>
          <w:szCs w:val="20"/>
        </w:rPr>
        <w:t>anticipates issuing</w:t>
      </w:r>
      <w:r w:rsidR="00964026">
        <w:rPr>
          <w:sz w:val="20"/>
          <w:szCs w:val="20"/>
        </w:rPr>
        <w:t xml:space="preserve"> additional awards to ensure sufficient coverage for the State’s local banking needs</w:t>
      </w:r>
      <w:r w:rsidR="00CB6511">
        <w:rPr>
          <w:sz w:val="20"/>
          <w:szCs w:val="20"/>
        </w:rPr>
        <w:t>.</w:t>
      </w:r>
      <w:r w:rsidR="00E60042">
        <w:rPr>
          <w:sz w:val="20"/>
          <w:szCs w:val="20"/>
        </w:rPr>
        <w:t xml:space="preserve"> </w:t>
      </w:r>
      <w:r w:rsidR="00E60042" w:rsidRPr="003929CD">
        <w:rPr>
          <w:sz w:val="20"/>
          <w:szCs w:val="20"/>
        </w:rPr>
        <w:t xml:space="preserve">Individual State </w:t>
      </w:r>
      <w:r w:rsidR="00E60042">
        <w:rPr>
          <w:sz w:val="20"/>
          <w:szCs w:val="20"/>
        </w:rPr>
        <w:t>entities</w:t>
      </w:r>
      <w:r w:rsidR="00E60042" w:rsidRPr="003929CD">
        <w:rPr>
          <w:sz w:val="20"/>
          <w:szCs w:val="20"/>
        </w:rPr>
        <w:t xml:space="preserve"> </w:t>
      </w:r>
      <w:r w:rsidR="00E60042">
        <w:rPr>
          <w:sz w:val="20"/>
          <w:szCs w:val="20"/>
        </w:rPr>
        <w:t xml:space="preserve">in need of OTC services </w:t>
      </w:r>
      <w:r w:rsidR="00E60042" w:rsidRPr="003929CD">
        <w:rPr>
          <w:sz w:val="20"/>
          <w:szCs w:val="20"/>
        </w:rPr>
        <w:t xml:space="preserve">will be able to select </w:t>
      </w:r>
      <w:r w:rsidR="00E60042">
        <w:rPr>
          <w:sz w:val="20"/>
          <w:szCs w:val="20"/>
        </w:rPr>
        <w:t>t</w:t>
      </w:r>
      <w:r w:rsidR="00E60042" w:rsidRPr="003929CD">
        <w:rPr>
          <w:sz w:val="20"/>
          <w:szCs w:val="20"/>
        </w:rPr>
        <w:t xml:space="preserve">heir preferred bank from </w:t>
      </w:r>
      <w:r w:rsidR="00E60042">
        <w:rPr>
          <w:sz w:val="20"/>
          <w:szCs w:val="20"/>
        </w:rPr>
        <w:t>the list of awarded Vendors</w:t>
      </w:r>
      <w:r w:rsidR="00E60042" w:rsidRPr="003929CD">
        <w:rPr>
          <w:sz w:val="20"/>
          <w:szCs w:val="20"/>
        </w:rPr>
        <w:t>.</w:t>
      </w:r>
      <w:r w:rsidR="00E60042">
        <w:rPr>
          <w:sz w:val="20"/>
          <w:szCs w:val="20"/>
        </w:rPr>
        <w:t xml:space="preserve"> State agencies that maintain accounts with financial institutions that </w:t>
      </w:r>
      <w:proofErr w:type="gramStart"/>
      <w:r w:rsidR="00E60042">
        <w:rPr>
          <w:sz w:val="20"/>
          <w:szCs w:val="20"/>
        </w:rPr>
        <w:t>are not issued</w:t>
      </w:r>
      <w:proofErr w:type="gramEnd"/>
      <w:r w:rsidR="00E60042">
        <w:rPr>
          <w:sz w:val="20"/>
          <w:szCs w:val="20"/>
        </w:rPr>
        <w:t xml:space="preserve"> an </w:t>
      </w:r>
      <w:r w:rsidR="007F694A">
        <w:rPr>
          <w:sz w:val="20"/>
          <w:szCs w:val="20"/>
        </w:rPr>
        <w:t>a</w:t>
      </w:r>
      <w:r w:rsidR="00E60042">
        <w:rPr>
          <w:sz w:val="20"/>
          <w:szCs w:val="20"/>
        </w:rPr>
        <w:t>ward will be required to transition their accounts to an awarded Vendor of their choosing.</w:t>
      </w:r>
    </w:p>
    <w:p w14:paraId="3F58B89E" w14:textId="77777777" w:rsidR="00CB6511" w:rsidRDefault="00CB6511" w:rsidP="00CB6511">
      <w:pPr>
        <w:tabs>
          <w:tab w:val="left" w:pos="400"/>
        </w:tabs>
        <w:jc w:val="both"/>
        <w:rPr>
          <w:sz w:val="20"/>
          <w:szCs w:val="20"/>
        </w:rPr>
      </w:pPr>
    </w:p>
    <w:p w14:paraId="49AF58B8" w14:textId="77777777" w:rsidR="00494D80" w:rsidRPr="00494D80" w:rsidRDefault="00494D80" w:rsidP="00494D80">
      <w:pPr>
        <w:tabs>
          <w:tab w:val="left" w:pos="1260"/>
          <w:tab w:val="left" w:pos="1440"/>
        </w:tabs>
        <w:jc w:val="both"/>
        <w:rPr>
          <w:sz w:val="20"/>
          <w:szCs w:val="20"/>
        </w:rPr>
      </w:pPr>
      <w:r w:rsidRPr="00494D80">
        <w:rPr>
          <w:sz w:val="20"/>
          <w:szCs w:val="20"/>
        </w:rPr>
        <w:t xml:space="preserve">This RFP </w:t>
      </w:r>
      <w:proofErr w:type="gramStart"/>
      <w:r w:rsidRPr="00494D80">
        <w:rPr>
          <w:sz w:val="20"/>
          <w:szCs w:val="20"/>
        </w:rPr>
        <w:t>is designed</w:t>
      </w:r>
      <w:proofErr w:type="gramEnd"/>
      <w:r w:rsidRPr="00494D80">
        <w:rPr>
          <w:sz w:val="20"/>
          <w:szCs w:val="20"/>
        </w:rPr>
        <w:t xml:space="preserve"> to achieve the following objectives:</w:t>
      </w:r>
    </w:p>
    <w:p w14:paraId="66EB6415" w14:textId="77777777" w:rsidR="00494D80" w:rsidRPr="00494D80" w:rsidRDefault="00494D80" w:rsidP="00494D80">
      <w:pPr>
        <w:tabs>
          <w:tab w:val="left" w:pos="1260"/>
          <w:tab w:val="left" w:pos="1440"/>
        </w:tabs>
        <w:jc w:val="both"/>
        <w:rPr>
          <w:sz w:val="20"/>
          <w:szCs w:val="20"/>
        </w:rPr>
      </w:pPr>
    </w:p>
    <w:p w14:paraId="6F6B6047" w14:textId="77777777" w:rsidR="00494D80" w:rsidRPr="00494D80" w:rsidRDefault="00494D80" w:rsidP="00494D80">
      <w:pPr>
        <w:tabs>
          <w:tab w:val="left" w:pos="1260"/>
          <w:tab w:val="left" w:pos="1440"/>
        </w:tabs>
        <w:ind w:left="720" w:hanging="360"/>
        <w:jc w:val="both"/>
        <w:rPr>
          <w:sz w:val="20"/>
          <w:szCs w:val="20"/>
        </w:rPr>
      </w:pPr>
      <w:r w:rsidRPr="00494D80">
        <w:rPr>
          <w:sz w:val="20"/>
          <w:szCs w:val="20"/>
        </w:rPr>
        <w:t>1.</w:t>
      </w:r>
      <w:r w:rsidRPr="00494D80">
        <w:rPr>
          <w:sz w:val="20"/>
          <w:szCs w:val="20"/>
        </w:rPr>
        <w:tab/>
        <w:t>Centralized contract administration of</w:t>
      </w:r>
      <w:r w:rsidR="00236597">
        <w:rPr>
          <w:sz w:val="20"/>
          <w:szCs w:val="20"/>
        </w:rPr>
        <w:t xml:space="preserve"> </w:t>
      </w:r>
      <w:r w:rsidRPr="00494D80">
        <w:rPr>
          <w:sz w:val="20"/>
          <w:szCs w:val="20"/>
        </w:rPr>
        <w:t>Vendor</w:t>
      </w:r>
      <w:r w:rsidR="00236597">
        <w:rPr>
          <w:sz w:val="20"/>
          <w:szCs w:val="20"/>
        </w:rPr>
        <w:t xml:space="preserve"> relationships through OST</w:t>
      </w:r>
      <w:proofErr w:type="gramStart"/>
      <w:r w:rsidRPr="00494D80">
        <w:rPr>
          <w:sz w:val="20"/>
          <w:szCs w:val="20"/>
        </w:rPr>
        <w:t>;</w:t>
      </w:r>
      <w:proofErr w:type="gramEnd"/>
    </w:p>
    <w:p w14:paraId="05597E28" w14:textId="7FADDE76" w:rsidR="00494D80" w:rsidRPr="00494D80" w:rsidRDefault="00494D80" w:rsidP="00494D80">
      <w:pPr>
        <w:tabs>
          <w:tab w:val="left" w:pos="1260"/>
          <w:tab w:val="left" w:pos="1440"/>
        </w:tabs>
        <w:ind w:left="720" w:hanging="360"/>
        <w:jc w:val="both"/>
        <w:rPr>
          <w:sz w:val="20"/>
          <w:szCs w:val="20"/>
        </w:rPr>
      </w:pPr>
      <w:r w:rsidRPr="00494D80">
        <w:rPr>
          <w:sz w:val="20"/>
          <w:szCs w:val="20"/>
        </w:rPr>
        <w:t>2.</w:t>
      </w:r>
      <w:r w:rsidRPr="00494D80">
        <w:rPr>
          <w:sz w:val="20"/>
          <w:szCs w:val="20"/>
        </w:rPr>
        <w:tab/>
        <w:t xml:space="preserve">Centralized oversight of State </w:t>
      </w:r>
      <w:r w:rsidR="0026745B">
        <w:rPr>
          <w:sz w:val="20"/>
          <w:szCs w:val="20"/>
        </w:rPr>
        <w:t>entity</w:t>
      </w:r>
      <w:r w:rsidR="0026745B" w:rsidRPr="00494D80">
        <w:rPr>
          <w:sz w:val="20"/>
          <w:szCs w:val="20"/>
        </w:rPr>
        <w:t xml:space="preserve"> </w:t>
      </w:r>
      <w:r w:rsidRPr="00494D80">
        <w:rPr>
          <w:sz w:val="20"/>
          <w:szCs w:val="20"/>
        </w:rPr>
        <w:t>accounts by OST;</w:t>
      </w:r>
      <w:r w:rsidR="00236597">
        <w:rPr>
          <w:sz w:val="20"/>
          <w:szCs w:val="20"/>
        </w:rPr>
        <w:t xml:space="preserve"> and</w:t>
      </w:r>
    </w:p>
    <w:p w14:paraId="55496978" w14:textId="4C3C5D03" w:rsidR="00494D80" w:rsidRPr="00494D80" w:rsidRDefault="00494D80" w:rsidP="00494D80">
      <w:pPr>
        <w:tabs>
          <w:tab w:val="left" w:pos="1260"/>
          <w:tab w:val="left" w:pos="1440"/>
        </w:tabs>
        <w:ind w:left="720" w:hanging="360"/>
        <w:jc w:val="both"/>
        <w:rPr>
          <w:sz w:val="20"/>
          <w:szCs w:val="20"/>
        </w:rPr>
      </w:pPr>
      <w:r w:rsidRPr="00494D80">
        <w:rPr>
          <w:sz w:val="20"/>
          <w:szCs w:val="20"/>
        </w:rPr>
        <w:t>3.</w:t>
      </w:r>
      <w:r w:rsidRPr="00494D80">
        <w:rPr>
          <w:sz w:val="20"/>
          <w:szCs w:val="20"/>
        </w:rPr>
        <w:tab/>
        <w:t xml:space="preserve">Consistent pricing across State </w:t>
      </w:r>
      <w:r w:rsidR="0026745B">
        <w:rPr>
          <w:sz w:val="20"/>
          <w:szCs w:val="20"/>
        </w:rPr>
        <w:t>entity</w:t>
      </w:r>
      <w:r w:rsidR="0026745B" w:rsidRPr="00494D80">
        <w:rPr>
          <w:sz w:val="20"/>
          <w:szCs w:val="20"/>
        </w:rPr>
        <w:t xml:space="preserve"> </w:t>
      </w:r>
      <w:r w:rsidRPr="00494D80">
        <w:rPr>
          <w:sz w:val="20"/>
          <w:szCs w:val="20"/>
        </w:rPr>
        <w:t>accounts with individual Vendors.</w:t>
      </w:r>
    </w:p>
    <w:p w14:paraId="7C600F7C" w14:textId="77777777" w:rsidR="00494D80" w:rsidRDefault="00494D80" w:rsidP="00161351">
      <w:pPr>
        <w:tabs>
          <w:tab w:val="left" w:pos="1260"/>
          <w:tab w:val="left" w:pos="1440"/>
        </w:tabs>
        <w:ind w:left="1080"/>
        <w:jc w:val="both"/>
      </w:pPr>
    </w:p>
    <w:p w14:paraId="7BF7C09D" w14:textId="77777777" w:rsidR="00161351" w:rsidRDefault="00161351" w:rsidP="00C04D0B">
      <w:pPr>
        <w:pStyle w:val="Heading1"/>
        <w:keepNext/>
      </w:pPr>
      <w:r w:rsidRPr="006D4383">
        <w:t>RFP Issuance and Submission of Proposals</w:t>
      </w:r>
    </w:p>
    <w:p w14:paraId="6AA53CE5" w14:textId="77777777" w:rsidR="0041397F" w:rsidRPr="0041397F" w:rsidRDefault="0041397F" w:rsidP="00B57C4D">
      <w:pPr>
        <w:pStyle w:val="Heading2"/>
        <w:numPr>
          <w:ilvl w:val="1"/>
          <w:numId w:val="126"/>
        </w:numPr>
        <w:tabs>
          <w:tab w:val="clear" w:pos="2880"/>
        </w:tabs>
        <w:ind w:left="360"/>
      </w:pPr>
      <w:r>
        <w:t>RFP Issuance</w:t>
      </w:r>
    </w:p>
    <w:p w14:paraId="601E12C1" w14:textId="77777777" w:rsidR="00161351" w:rsidRPr="0041397F" w:rsidRDefault="00161351" w:rsidP="0041397F">
      <w:pPr>
        <w:pStyle w:val="Heading3"/>
      </w:pPr>
      <w:r w:rsidRPr="0041397F">
        <w:t>Public Notice</w:t>
      </w:r>
    </w:p>
    <w:p w14:paraId="7CC24FB9" w14:textId="77777777" w:rsidR="00161351" w:rsidRPr="00D243F1" w:rsidRDefault="00161351" w:rsidP="006D4383">
      <w:pPr>
        <w:ind w:firstLine="720"/>
        <w:jc w:val="both"/>
        <w:rPr>
          <w:sz w:val="20"/>
          <w:szCs w:val="20"/>
        </w:rPr>
      </w:pPr>
      <w:r w:rsidRPr="00D243F1">
        <w:rPr>
          <w:sz w:val="20"/>
          <w:szCs w:val="20"/>
        </w:rPr>
        <w:t xml:space="preserve">Public notice of this RFP has been provided in accordance with 29 </w:t>
      </w:r>
      <w:r w:rsidRPr="00D243F1">
        <w:rPr>
          <w:i/>
          <w:sz w:val="20"/>
          <w:szCs w:val="20"/>
        </w:rPr>
        <w:t>Del. C.</w:t>
      </w:r>
      <w:r w:rsidRPr="00D243F1">
        <w:rPr>
          <w:sz w:val="20"/>
          <w:szCs w:val="20"/>
        </w:rPr>
        <w:t xml:space="preserve"> </w:t>
      </w:r>
      <w:hyperlink r:id="rId13" w:anchor="6981" w:history="1">
        <w:r w:rsidRPr="00D243F1">
          <w:rPr>
            <w:sz w:val="20"/>
            <w:szCs w:val="20"/>
          </w:rPr>
          <w:t>§ 6981</w:t>
        </w:r>
      </w:hyperlink>
      <w:r w:rsidRPr="00D243F1">
        <w:rPr>
          <w:sz w:val="20"/>
          <w:szCs w:val="20"/>
        </w:rPr>
        <w:t>.</w:t>
      </w:r>
    </w:p>
    <w:p w14:paraId="457975B3" w14:textId="77777777" w:rsidR="00161351" w:rsidRPr="00D243F1" w:rsidRDefault="00161351" w:rsidP="0041397F">
      <w:pPr>
        <w:pStyle w:val="Heading3"/>
      </w:pPr>
      <w:r w:rsidRPr="00D243F1">
        <w:t>Publication of this RFP</w:t>
      </w:r>
    </w:p>
    <w:p w14:paraId="5FA539DA" w14:textId="77777777" w:rsidR="00161351" w:rsidRPr="00D243F1" w:rsidRDefault="00161351" w:rsidP="006D4383">
      <w:pPr>
        <w:ind w:firstLine="720"/>
        <w:jc w:val="both"/>
        <w:rPr>
          <w:sz w:val="20"/>
          <w:szCs w:val="20"/>
        </w:rPr>
      </w:pPr>
      <w:r w:rsidRPr="00D243F1">
        <w:rPr>
          <w:sz w:val="20"/>
          <w:szCs w:val="20"/>
        </w:rPr>
        <w:t xml:space="preserve">This RFP </w:t>
      </w:r>
      <w:proofErr w:type="gramStart"/>
      <w:r w:rsidRPr="00D243F1">
        <w:rPr>
          <w:sz w:val="20"/>
          <w:szCs w:val="20"/>
        </w:rPr>
        <w:t>is published</w:t>
      </w:r>
      <w:proofErr w:type="gramEnd"/>
      <w:r w:rsidRPr="00D243F1">
        <w:rPr>
          <w:sz w:val="20"/>
          <w:szCs w:val="20"/>
        </w:rPr>
        <w:t xml:space="preserve"> in electronic form only. It is available at the following websites:</w:t>
      </w:r>
    </w:p>
    <w:p w14:paraId="60A95AA0" w14:textId="77777777" w:rsidR="00161351" w:rsidRPr="00D243F1" w:rsidRDefault="00161351" w:rsidP="00161351">
      <w:pPr>
        <w:ind w:left="1080"/>
        <w:jc w:val="both"/>
        <w:rPr>
          <w:sz w:val="20"/>
          <w:szCs w:val="20"/>
        </w:rPr>
      </w:pPr>
    </w:p>
    <w:p w14:paraId="5C06A4AF" w14:textId="77777777" w:rsidR="00161351" w:rsidRPr="00D243F1" w:rsidRDefault="00A27D5B" w:rsidP="00FC65BC">
      <w:pPr>
        <w:shd w:val="clear" w:color="auto" w:fill="FFFFFF" w:themeFill="background2"/>
        <w:ind w:left="720"/>
        <w:jc w:val="both"/>
        <w:rPr>
          <w:sz w:val="20"/>
          <w:szCs w:val="20"/>
        </w:rPr>
      </w:pPr>
      <w:hyperlink r:id="rId14" w:history="1">
        <w:r w:rsidR="00161351" w:rsidRPr="00D243F1">
          <w:rPr>
            <w:rStyle w:val="Hyperlink"/>
            <w:sz w:val="20"/>
            <w:szCs w:val="20"/>
          </w:rPr>
          <w:t>http://bids.delaware.gov/</w:t>
        </w:r>
      </w:hyperlink>
    </w:p>
    <w:p w14:paraId="05E8B162" w14:textId="77777777" w:rsidR="00161351" w:rsidRDefault="00A27D5B" w:rsidP="00FC65BC">
      <w:pPr>
        <w:shd w:val="clear" w:color="auto" w:fill="FFFFFF" w:themeFill="background2"/>
        <w:ind w:left="720"/>
        <w:jc w:val="both"/>
        <w:rPr>
          <w:rStyle w:val="Hyperlink"/>
          <w:sz w:val="20"/>
          <w:szCs w:val="20"/>
        </w:rPr>
      </w:pPr>
      <w:hyperlink r:id="rId15" w:history="1">
        <w:r w:rsidR="00161351" w:rsidRPr="00D243F1">
          <w:rPr>
            <w:rStyle w:val="Hyperlink"/>
            <w:sz w:val="20"/>
            <w:szCs w:val="20"/>
          </w:rPr>
          <w:t>http://treasurer.delaware.gov/requests-proposals/</w:t>
        </w:r>
      </w:hyperlink>
    </w:p>
    <w:p w14:paraId="4AE9ADFB" w14:textId="77777777" w:rsidR="0014612E" w:rsidRPr="00D243F1" w:rsidRDefault="0014612E" w:rsidP="00FC65BC">
      <w:pPr>
        <w:shd w:val="clear" w:color="auto" w:fill="FFFFFF" w:themeFill="background2"/>
        <w:ind w:left="720"/>
        <w:jc w:val="both"/>
        <w:rPr>
          <w:sz w:val="20"/>
          <w:szCs w:val="20"/>
        </w:rPr>
      </w:pPr>
      <w:r>
        <w:rPr>
          <w:rStyle w:val="Hyperlink"/>
          <w:sz w:val="20"/>
          <w:szCs w:val="20"/>
        </w:rPr>
        <w:t>http://www.debankers.com/</w:t>
      </w:r>
    </w:p>
    <w:p w14:paraId="01C44490" w14:textId="77777777" w:rsidR="00161351" w:rsidRPr="00D243F1" w:rsidRDefault="00A27D5B" w:rsidP="00FC65BC">
      <w:pPr>
        <w:shd w:val="clear" w:color="auto" w:fill="FFFFFF" w:themeFill="background2"/>
        <w:ind w:left="720"/>
        <w:jc w:val="both"/>
        <w:rPr>
          <w:rStyle w:val="Hyperlink"/>
          <w:sz w:val="20"/>
          <w:szCs w:val="20"/>
        </w:rPr>
      </w:pPr>
      <w:hyperlink r:id="rId16" w:history="1">
        <w:r w:rsidR="00161351" w:rsidRPr="00D243F1">
          <w:rPr>
            <w:rStyle w:val="Hyperlink"/>
            <w:sz w:val="20"/>
            <w:szCs w:val="20"/>
          </w:rPr>
          <w:t>http://nast.org</w:t>
        </w:r>
      </w:hyperlink>
    </w:p>
    <w:p w14:paraId="6186FBA3" w14:textId="77777777" w:rsidR="00161351" w:rsidRPr="00D243F1" w:rsidRDefault="00161351" w:rsidP="0041397F">
      <w:pPr>
        <w:pStyle w:val="Heading3"/>
      </w:pPr>
      <w:r w:rsidRPr="00D243F1">
        <w:t>Assistance to Vendors with a Disability</w:t>
      </w:r>
    </w:p>
    <w:p w14:paraId="12708652" w14:textId="77777777" w:rsidR="00161351" w:rsidRPr="00D243F1" w:rsidRDefault="00161351" w:rsidP="006D4383">
      <w:pPr>
        <w:ind w:left="720"/>
        <w:jc w:val="both"/>
        <w:rPr>
          <w:sz w:val="20"/>
          <w:szCs w:val="20"/>
        </w:rPr>
      </w:pPr>
      <w:r w:rsidRPr="00D243F1">
        <w:rPr>
          <w:sz w:val="20"/>
          <w:szCs w:val="20"/>
        </w:rPr>
        <w:t xml:space="preserve">Vendors with a disability may receive reasonable accommodation regarding the means of communicating this RFP or participating in the procurement process. For more information, contact the Designated Contacts no later than fourteen days </w:t>
      </w:r>
      <w:r w:rsidR="00B11CAB">
        <w:rPr>
          <w:sz w:val="20"/>
          <w:szCs w:val="20"/>
        </w:rPr>
        <w:t xml:space="preserve">(14) </w:t>
      </w:r>
      <w:r w:rsidRPr="00D243F1">
        <w:rPr>
          <w:sz w:val="20"/>
          <w:szCs w:val="20"/>
        </w:rPr>
        <w:t>prior to the deadline for receipt of proposals.</w:t>
      </w:r>
    </w:p>
    <w:p w14:paraId="01DDA3B3" w14:textId="77777777" w:rsidR="00161351" w:rsidRPr="00D243F1" w:rsidRDefault="00161351" w:rsidP="0041397F">
      <w:pPr>
        <w:pStyle w:val="Heading3"/>
      </w:pPr>
      <w:r w:rsidRPr="00D243F1">
        <w:t>RFP Designated Contacts</w:t>
      </w:r>
    </w:p>
    <w:p w14:paraId="2EDDCE70" w14:textId="77777777" w:rsidR="00161351" w:rsidRPr="00D243F1" w:rsidRDefault="00161351" w:rsidP="006D4383">
      <w:pPr>
        <w:ind w:left="720"/>
        <w:jc w:val="both"/>
        <w:rPr>
          <w:sz w:val="20"/>
          <w:szCs w:val="20"/>
        </w:rPr>
      </w:pPr>
      <w:r w:rsidRPr="00D243F1">
        <w:rPr>
          <w:sz w:val="20"/>
          <w:szCs w:val="20"/>
        </w:rPr>
        <w:t xml:space="preserve">All communication about this RFP </w:t>
      </w:r>
      <w:proofErr w:type="gramStart"/>
      <w:r w:rsidRPr="00D243F1">
        <w:rPr>
          <w:sz w:val="20"/>
          <w:szCs w:val="20"/>
        </w:rPr>
        <w:t>shall be made</w:t>
      </w:r>
      <w:proofErr w:type="gramEnd"/>
      <w:r w:rsidRPr="00D243F1">
        <w:rPr>
          <w:sz w:val="20"/>
          <w:szCs w:val="20"/>
        </w:rPr>
        <w:t xml:space="preserve"> via email to the Designated Contacts. Vendors should rely only on written statements issued by the Designated Contacts.</w:t>
      </w:r>
    </w:p>
    <w:p w14:paraId="0E457250" w14:textId="77777777" w:rsidR="00161351" w:rsidRPr="00D243F1" w:rsidRDefault="00161351" w:rsidP="006D4383">
      <w:pPr>
        <w:ind w:left="720"/>
        <w:jc w:val="both"/>
        <w:rPr>
          <w:sz w:val="20"/>
          <w:szCs w:val="20"/>
        </w:rPr>
      </w:pPr>
    </w:p>
    <w:p w14:paraId="193F2674" w14:textId="77777777" w:rsidR="00161351" w:rsidRPr="00D243F1" w:rsidRDefault="00161351" w:rsidP="006D4383">
      <w:pPr>
        <w:ind w:left="720"/>
        <w:jc w:val="both"/>
        <w:rPr>
          <w:b/>
          <w:i/>
          <w:sz w:val="20"/>
          <w:szCs w:val="20"/>
        </w:rPr>
      </w:pPr>
      <w:r w:rsidRPr="00D243F1">
        <w:rPr>
          <w:sz w:val="20"/>
          <w:szCs w:val="20"/>
        </w:rPr>
        <w:t xml:space="preserve">The Vendor must designate a single point of contact, who will be responsible for coordinating all internal Vendor communication. The Designated Contacts will only communicate with that </w:t>
      </w:r>
      <w:r w:rsidRPr="00D243F1">
        <w:rPr>
          <w:sz w:val="20"/>
          <w:szCs w:val="20"/>
          <w:u w:val="single"/>
        </w:rPr>
        <w:t>one</w:t>
      </w:r>
      <w:r w:rsidR="00B11CAB">
        <w:rPr>
          <w:sz w:val="20"/>
          <w:szCs w:val="20"/>
          <w:u w:val="single"/>
        </w:rPr>
        <w:t xml:space="preserve"> (1)</w:t>
      </w:r>
      <w:r w:rsidRPr="00D243F1">
        <w:rPr>
          <w:sz w:val="20"/>
          <w:szCs w:val="20"/>
        </w:rPr>
        <w:t xml:space="preserve"> person for each Vendor</w:t>
      </w:r>
      <w:r w:rsidRPr="00D243F1">
        <w:rPr>
          <w:b/>
          <w:i/>
          <w:sz w:val="20"/>
          <w:szCs w:val="20"/>
        </w:rPr>
        <w:t>.</w:t>
      </w:r>
    </w:p>
    <w:p w14:paraId="26B2FD3E" w14:textId="77777777" w:rsidR="00161351" w:rsidRPr="00D243F1" w:rsidRDefault="00161351" w:rsidP="0041397F">
      <w:pPr>
        <w:pStyle w:val="Heading3"/>
      </w:pPr>
      <w:r w:rsidRPr="00D243F1">
        <w:t>Contact with Consultants and Legal Counsel</w:t>
      </w:r>
    </w:p>
    <w:p w14:paraId="3BAA09D7" w14:textId="77777777" w:rsidR="00161351" w:rsidRPr="00D243F1" w:rsidRDefault="00161351" w:rsidP="006D4383">
      <w:pPr>
        <w:ind w:left="720"/>
        <w:jc w:val="both"/>
        <w:rPr>
          <w:sz w:val="20"/>
          <w:szCs w:val="20"/>
        </w:rPr>
      </w:pPr>
      <w:r w:rsidRPr="00D243F1">
        <w:rPr>
          <w:sz w:val="20"/>
          <w:szCs w:val="20"/>
        </w:rPr>
        <w:t>The State may retain consultants or legal counsel to assist in the review and evaluation of this RFP and the Vendors’ responses. Vendors shall not contact the State’s consultant or legal counsel on any matter related to the RFP unless so instructed in writing by the Designated Contacts.</w:t>
      </w:r>
    </w:p>
    <w:p w14:paraId="0548608A" w14:textId="77777777" w:rsidR="00161351" w:rsidRPr="00D243F1" w:rsidRDefault="00161351" w:rsidP="0041397F">
      <w:pPr>
        <w:pStyle w:val="Heading3"/>
      </w:pPr>
      <w:r w:rsidRPr="00D243F1">
        <w:t>Contact with Other State Employees</w:t>
      </w:r>
    </w:p>
    <w:p w14:paraId="44AC4308" w14:textId="77777777" w:rsidR="00161351" w:rsidRPr="00D243F1" w:rsidRDefault="00161351" w:rsidP="006D4383">
      <w:pPr>
        <w:ind w:left="720"/>
        <w:jc w:val="both"/>
        <w:rPr>
          <w:sz w:val="20"/>
          <w:szCs w:val="20"/>
        </w:rPr>
      </w:pPr>
      <w:r w:rsidRPr="00D243F1">
        <w:rPr>
          <w:sz w:val="20"/>
          <w:szCs w:val="20"/>
        </w:rPr>
        <w:t xml:space="preserve">Direct contact with State employees other than the Designated Contacts regarding this RFP </w:t>
      </w:r>
      <w:proofErr w:type="gramStart"/>
      <w:r w:rsidRPr="00D243F1">
        <w:rPr>
          <w:sz w:val="20"/>
          <w:szCs w:val="20"/>
        </w:rPr>
        <w:t>is expressly prohibited</w:t>
      </w:r>
      <w:proofErr w:type="gramEnd"/>
      <w:r w:rsidRPr="00D243F1">
        <w:rPr>
          <w:sz w:val="20"/>
          <w:szCs w:val="20"/>
        </w:rPr>
        <w:t xml:space="preserve"> without prior written consent of the Designated Contacts. </w:t>
      </w:r>
      <w:proofErr w:type="gramStart"/>
      <w:r w:rsidRPr="00D243F1">
        <w:rPr>
          <w:sz w:val="20"/>
          <w:szCs w:val="20"/>
        </w:rPr>
        <w:t>Vendors</w:t>
      </w:r>
      <w:proofErr w:type="gramEnd"/>
      <w:r w:rsidRPr="00D243F1">
        <w:rPr>
          <w:sz w:val="20"/>
          <w:szCs w:val="20"/>
        </w:rPr>
        <w:t xml:space="preserve"> directly contacting State employees risk elimination of their proposal from further consideration.  Exceptions exist only for organizations currently doing business in the State that require contact in the normal course of business.</w:t>
      </w:r>
    </w:p>
    <w:p w14:paraId="1F946CE4" w14:textId="77777777" w:rsidR="00161351" w:rsidRPr="00D243F1" w:rsidRDefault="00161351" w:rsidP="0041397F">
      <w:pPr>
        <w:pStyle w:val="Heading3"/>
      </w:pPr>
      <w:r w:rsidRPr="00D243F1">
        <w:t>Organizations Ineligible to Bid</w:t>
      </w:r>
    </w:p>
    <w:p w14:paraId="1C221849" w14:textId="77777777" w:rsidR="00161351" w:rsidRPr="00D243F1" w:rsidRDefault="00161351" w:rsidP="006D4383">
      <w:pPr>
        <w:ind w:left="720"/>
        <w:jc w:val="both"/>
        <w:rPr>
          <w:sz w:val="20"/>
          <w:szCs w:val="20"/>
        </w:rPr>
      </w:pPr>
      <w:r w:rsidRPr="00D243F1">
        <w:rPr>
          <w:sz w:val="20"/>
          <w:szCs w:val="20"/>
        </w:rPr>
        <w:t>Any individual, business, organization, corporation, consortium, partnership, joint venture or other entity currently debarred, suspended or otherwise ineligible to conduct business in the State for any reason is not eligible to respond to this RFP.</w:t>
      </w:r>
    </w:p>
    <w:p w14:paraId="630A577F" w14:textId="77777777" w:rsidR="00161351" w:rsidRPr="00D243F1" w:rsidRDefault="00161351" w:rsidP="0041397F">
      <w:pPr>
        <w:pStyle w:val="Heading3"/>
      </w:pPr>
      <w:r w:rsidRPr="00D243F1">
        <w:t>Exclusions</w:t>
      </w:r>
    </w:p>
    <w:p w14:paraId="1ECB9F12" w14:textId="77777777" w:rsidR="00161351" w:rsidRPr="00D243F1" w:rsidRDefault="00161351" w:rsidP="006D4383">
      <w:pPr>
        <w:ind w:left="720"/>
        <w:jc w:val="both"/>
        <w:rPr>
          <w:sz w:val="20"/>
          <w:szCs w:val="20"/>
        </w:rPr>
      </w:pPr>
      <w:r w:rsidRPr="00D243F1">
        <w:rPr>
          <w:sz w:val="20"/>
          <w:szCs w:val="20"/>
        </w:rPr>
        <w:t>The Evaluation Team reserves the right to refuse to consider any proposal from a Vendor that:</w:t>
      </w:r>
    </w:p>
    <w:p w14:paraId="04A239A7" w14:textId="77777777" w:rsidR="00161351" w:rsidRPr="00D243F1" w:rsidRDefault="00161351" w:rsidP="00161351">
      <w:pPr>
        <w:ind w:left="1080" w:hanging="360"/>
        <w:rPr>
          <w:sz w:val="20"/>
          <w:szCs w:val="20"/>
        </w:rPr>
      </w:pPr>
    </w:p>
    <w:p w14:paraId="5E8A736A" w14:textId="77777777" w:rsidR="00161351" w:rsidRPr="00D243F1" w:rsidRDefault="00161351" w:rsidP="001777FA">
      <w:pPr>
        <w:numPr>
          <w:ilvl w:val="0"/>
          <w:numId w:val="10"/>
        </w:numPr>
        <w:ind w:left="1440"/>
        <w:jc w:val="both"/>
        <w:rPr>
          <w:sz w:val="20"/>
          <w:szCs w:val="20"/>
        </w:rPr>
      </w:pPr>
      <w:r w:rsidRPr="00D243F1">
        <w:rPr>
          <w:sz w:val="20"/>
          <w:szCs w:val="20"/>
        </w:rPr>
        <w:t>Has been, or has an employee who has been, convicted for commission of a criminal offense as an incident to obtaining or attempting to obtain a public or private contract or in the performance of the contract;</w:t>
      </w:r>
    </w:p>
    <w:p w14:paraId="007A88BF" w14:textId="77777777" w:rsidR="00161351" w:rsidRPr="00D243F1" w:rsidRDefault="00161351" w:rsidP="00161351">
      <w:pPr>
        <w:ind w:left="1440" w:hanging="360"/>
        <w:jc w:val="both"/>
        <w:rPr>
          <w:sz w:val="20"/>
          <w:szCs w:val="20"/>
        </w:rPr>
      </w:pPr>
    </w:p>
    <w:p w14:paraId="77DCB5B0" w14:textId="77777777" w:rsidR="00161351" w:rsidRPr="00D243F1" w:rsidRDefault="00161351" w:rsidP="001777FA">
      <w:pPr>
        <w:numPr>
          <w:ilvl w:val="0"/>
          <w:numId w:val="10"/>
        </w:numPr>
        <w:ind w:left="1440"/>
        <w:jc w:val="both"/>
        <w:rPr>
          <w:sz w:val="20"/>
          <w:szCs w:val="20"/>
        </w:rPr>
      </w:pPr>
      <w:r w:rsidRPr="00D243F1">
        <w:rPr>
          <w:sz w:val="20"/>
          <w:szCs w:val="20"/>
        </w:rPr>
        <w:t>Has been, or has an employee who has been, convicted under state or federal statutes of embezzlement, theft, forgery, bribery, falsification or destruction of records, receiving stolen property, or other offense indicating a lack of business integrity or business honesty;</w:t>
      </w:r>
    </w:p>
    <w:p w14:paraId="69332AE1" w14:textId="77777777" w:rsidR="00161351" w:rsidRPr="00D243F1" w:rsidRDefault="00161351" w:rsidP="00161351">
      <w:pPr>
        <w:ind w:left="1440" w:hanging="360"/>
        <w:jc w:val="both"/>
        <w:rPr>
          <w:sz w:val="20"/>
          <w:szCs w:val="20"/>
        </w:rPr>
      </w:pPr>
    </w:p>
    <w:p w14:paraId="6B00EE8D" w14:textId="77777777" w:rsidR="00161351" w:rsidRPr="00D243F1" w:rsidRDefault="00161351" w:rsidP="001777FA">
      <w:pPr>
        <w:numPr>
          <w:ilvl w:val="0"/>
          <w:numId w:val="10"/>
        </w:numPr>
        <w:ind w:left="1440"/>
        <w:jc w:val="both"/>
        <w:rPr>
          <w:sz w:val="20"/>
          <w:szCs w:val="20"/>
        </w:rPr>
      </w:pPr>
      <w:r w:rsidRPr="00D243F1">
        <w:rPr>
          <w:sz w:val="20"/>
          <w:szCs w:val="20"/>
        </w:rPr>
        <w:t>Has been, or has an employee who has been, convicted or has had a civil judgment entered for a violation under state or federal antitrust statutes;</w:t>
      </w:r>
    </w:p>
    <w:p w14:paraId="1DCC77E2" w14:textId="77777777" w:rsidR="00161351" w:rsidRPr="00D243F1" w:rsidRDefault="00161351" w:rsidP="00161351">
      <w:pPr>
        <w:ind w:left="1440" w:hanging="360"/>
        <w:jc w:val="both"/>
        <w:rPr>
          <w:sz w:val="20"/>
          <w:szCs w:val="20"/>
        </w:rPr>
      </w:pPr>
    </w:p>
    <w:p w14:paraId="481FD8DE" w14:textId="77777777" w:rsidR="00161351" w:rsidRPr="00D243F1" w:rsidRDefault="00161351" w:rsidP="001777FA">
      <w:pPr>
        <w:numPr>
          <w:ilvl w:val="0"/>
          <w:numId w:val="10"/>
        </w:numPr>
        <w:ind w:left="1440"/>
        <w:jc w:val="both"/>
        <w:rPr>
          <w:sz w:val="20"/>
          <w:szCs w:val="20"/>
        </w:rPr>
      </w:pPr>
      <w:r w:rsidRPr="00D243F1">
        <w:rPr>
          <w:sz w:val="20"/>
          <w:szCs w:val="20"/>
        </w:rPr>
        <w:t>Has violated, or has an employee who has violated, contract provisions as a state contractor such as:</w:t>
      </w:r>
    </w:p>
    <w:p w14:paraId="08CF863B" w14:textId="77777777" w:rsidR="00161351" w:rsidRPr="00D243F1" w:rsidRDefault="00161351" w:rsidP="00161351">
      <w:pPr>
        <w:ind w:left="1440" w:hanging="360"/>
        <w:jc w:val="both"/>
        <w:rPr>
          <w:sz w:val="20"/>
          <w:szCs w:val="20"/>
        </w:rPr>
      </w:pPr>
    </w:p>
    <w:p w14:paraId="1C5D4726" w14:textId="77777777" w:rsidR="00161351" w:rsidRPr="00D243F1" w:rsidRDefault="00161351" w:rsidP="00A509A6">
      <w:pPr>
        <w:numPr>
          <w:ilvl w:val="0"/>
          <w:numId w:val="6"/>
        </w:numPr>
        <w:ind w:left="1800"/>
        <w:jc w:val="both"/>
        <w:rPr>
          <w:sz w:val="20"/>
          <w:szCs w:val="20"/>
        </w:rPr>
      </w:pPr>
      <w:r w:rsidRPr="00D243F1">
        <w:rPr>
          <w:sz w:val="20"/>
          <w:szCs w:val="20"/>
        </w:rPr>
        <w:t>Knowing failure without good cause to perform in accordance with the specifications or within the time limit provided in the contract; or</w:t>
      </w:r>
    </w:p>
    <w:p w14:paraId="417F3BBF" w14:textId="77777777" w:rsidR="00161351" w:rsidRPr="00D243F1" w:rsidRDefault="00161351" w:rsidP="00161351">
      <w:pPr>
        <w:ind w:left="1800"/>
        <w:jc w:val="both"/>
        <w:rPr>
          <w:sz w:val="20"/>
          <w:szCs w:val="20"/>
        </w:rPr>
      </w:pPr>
    </w:p>
    <w:p w14:paraId="4923D80A" w14:textId="77777777" w:rsidR="00161351" w:rsidRPr="00D243F1" w:rsidRDefault="00161351" w:rsidP="00A509A6">
      <w:pPr>
        <w:numPr>
          <w:ilvl w:val="0"/>
          <w:numId w:val="6"/>
        </w:numPr>
        <w:ind w:left="1800"/>
        <w:jc w:val="both"/>
        <w:rPr>
          <w:sz w:val="20"/>
          <w:szCs w:val="20"/>
        </w:rPr>
      </w:pPr>
      <w:r w:rsidRPr="00D243F1">
        <w:rPr>
          <w:sz w:val="20"/>
          <w:szCs w:val="20"/>
        </w:rPr>
        <w:t>Failure to perform or unsatisfactory performance in accordance with terms of one or more contracts;</w:t>
      </w:r>
    </w:p>
    <w:p w14:paraId="7F23E6AC" w14:textId="77777777" w:rsidR="00161351" w:rsidRPr="00D243F1" w:rsidRDefault="00161351" w:rsidP="00161351">
      <w:pPr>
        <w:tabs>
          <w:tab w:val="left" w:pos="1980"/>
        </w:tabs>
        <w:ind w:left="1440" w:hanging="360"/>
        <w:jc w:val="both"/>
        <w:rPr>
          <w:sz w:val="20"/>
          <w:szCs w:val="20"/>
        </w:rPr>
      </w:pPr>
    </w:p>
    <w:p w14:paraId="1F555C08" w14:textId="77777777" w:rsidR="00161351" w:rsidRPr="00D243F1" w:rsidRDefault="00161351" w:rsidP="001777FA">
      <w:pPr>
        <w:numPr>
          <w:ilvl w:val="0"/>
          <w:numId w:val="10"/>
        </w:numPr>
        <w:ind w:left="1440"/>
        <w:jc w:val="both"/>
        <w:rPr>
          <w:sz w:val="20"/>
          <w:szCs w:val="20"/>
        </w:rPr>
      </w:pPr>
      <w:r w:rsidRPr="00D243F1">
        <w:rPr>
          <w:sz w:val="20"/>
          <w:szCs w:val="20"/>
        </w:rPr>
        <w:t>Has violated, or has an employee who has violated, ethical standards set out in law or regulation; or</w:t>
      </w:r>
    </w:p>
    <w:p w14:paraId="28B86903" w14:textId="77777777" w:rsidR="00161351" w:rsidRPr="00D243F1" w:rsidRDefault="00161351" w:rsidP="00161351">
      <w:pPr>
        <w:ind w:left="1440" w:hanging="360"/>
        <w:jc w:val="both"/>
        <w:rPr>
          <w:sz w:val="20"/>
          <w:szCs w:val="20"/>
        </w:rPr>
      </w:pPr>
    </w:p>
    <w:p w14:paraId="45A16438" w14:textId="77777777" w:rsidR="00161351" w:rsidRPr="00D243F1" w:rsidRDefault="00161351" w:rsidP="001777FA">
      <w:pPr>
        <w:numPr>
          <w:ilvl w:val="0"/>
          <w:numId w:val="10"/>
        </w:numPr>
        <w:ind w:left="1440"/>
        <w:jc w:val="both"/>
        <w:rPr>
          <w:sz w:val="20"/>
          <w:szCs w:val="20"/>
        </w:rPr>
      </w:pPr>
      <w:r w:rsidRPr="00D243F1">
        <w:rPr>
          <w:sz w:val="20"/>
          <w:szCs w:val="20"/>
        </w:rPr>
        <w:t>Has violated, or has an employee who has violated, any other regulation of the State determined to be serious and compelling as to affect responsibility as a state contractor.</w:t>
      </w:r>
    </w:p>
    <w:p w14:paraId="5B8E80CC" w14:textId="77777777" w:rsidR="00161351" w:rsidRPr="00D243F1" w:rsidRDefault="00161351" w:rsidP="0041397F">
      <w:pPr>
        <w:pStyle w:val="Heading3"/>
      </w:pPr>
      <w:r w:rsidRPr="00D243F1">
        <w:t>No Press Releases or Public Disclosure</w:t>
      </w:r>
    </w:p>
    <w:p w14:paraId="04F004C1" w14:textId="77777777" w:rsidR="00161351" w:rsidRPr="00D243F1" w:rsidRDefault="00B11CAB" w:rsidP="006D4383">
      <w:pPr>
        <w:ind w:left="720"/>
        <w:jc w:val="both"/>
        <w:rPr>
          <w:sz w:val="20"/>
          <w:szCs w:val="20"/>
        </w:rPr>
      </w:pPr>
      <w:r>
        <w:rPr>
          <w:sz w:val="20"/>
          <w:szCs w:val="20"/>
        </w:rPr>
        <w:t>The State</w:t>
      </w:r>
      <w:r w:rsidRPr="00D243F1">
        <w:rPr>
          <w:sz w:val="20"/>
          <w:szCs w:val="20"/>
        </w:rPr>
        <w:t xml:space="preserve"> </w:t>
      </w:r>
      <w:r w:rsidR="00161351" w:rsidRPr="00D243F1">
        <w:rPr>
          <w:sz w:val="20"/>
          <w:szCs w:val="20"/>
        </w:rPr>
        <w:t xml:space="preserve">reserves the right to pre-approve any news or broadcast advertising releases concerning this RFP, the resulting contract, the work performed, or any reference to the State with regard to any project or contract performance. Any such news or advertising release pertaining to this RFP or any resulting contract or services shall require the prior express written permission of </w:t>
      </w:r>
      <w:r>
        <w:rPr>
          <w:sz w:val="20"/>
          <w:szCs w:val="20"/>
        </w:rPr>
        <w:t>the State</w:t>
      </w:r>
      <w:r w:rsidR="00161351" w:rsidRPr="00D243F1">
        <w:rPr>
          <w:sz w:val="20"/>
          <w:szCs w:val="20"/>
        </w:rPr>
        <w:t>.</w:t>
      </w:r>
    </w:p>
    <w:p w14:paraId="06F31025" w14:textId="77777777" w:rsidR="00161351" w:rsidRPr="00D243F1" w:rsidRDefault="00161351" w:rsidP="006D4383">
      <w:pPr>
        <w:ind w:left="720"/>
        <w:jc w:val="both"/>
        <w:rPr>
          <w:sz w:val="20"/>
          <w:szCs w:val="20"/>
        </w:rPr>
      </w:pPr>
    </w:p>
    <w:p w14:paraId="35BF1F7A" w14:textId="77777777" w:rsidR="00161351" w:rsidRPr="00D243F1" w:rsidRDefault="00161351" w:rsidP="006D4383">
      <w:pPr>
        <w:ind w:left="720"/>
        <w:jc w:val="both"/>
        <w:rPr>
          <w:sz w:val="20"/>
          <w:szCs w:val="20"/>
        </w:rPr>
      </w:pPr>
      <w:r w:rsidRPr="00D243F1">
        <w:rPr>
          <w:sz w:val="20"/>
          <w:szCs w:val="20"/>
        </w:rPr>
        <w:t>Notwithstanding the foregoing, the State will not prohibit or otherwise prevent successful Vendors from direct marketing to the State’s agencies, departments, municipalities, and/or any other political subdivisions; provided, however, that no Vendor shall use the State’s seal or imply the State’s preference or recommendation for the goods or services to be provided.</w:t>
      </w:r>
    </w:p>
    <w:p w14:paraId="00276277" w14:textId="77777777" w:rsidR="00161351" w:rsidRPr="00D243F1" w:rsidRDefault="00161351" w:rsidP="0041397F">
      <w:pPr>
        <w:pStyle w:val="Heading3"/>
      </w:pPr>
      <w:r w:rsidRPr="00D243F1">
        <w:t>RFP Not an Offer</w:t>
      </w:r>
    </w:p>
    <w:p w14:paraId="01F92C3A" w14:textId="29F429CB" w:rsidR="00161351" w:rsidRPr="00D243F1" w:rsidRDefault="00161351" w:rsidP="006D4383">
      <w:pPr>
        <w:ind w:left="720"/>
        <w:jc w:val="both"/>
        <w:rPr>
          <w:sz w:val="20"/>
          <w:szCs w:val="20"/>
        </w:rPr>
      </w:pPr>
      <w:r w:rsidRPr="00D243F1">
        <w:rPr>
          <w:sz w:val="20"/>
          <w:szCs w:val="20"/>
        </w:rPr>
        <w:t xml:space="preserve">This RFP does not constitute an offer by OST, the </w:t>
      </w:r>
      <w:r w:rsidR="00E60042">
        <w:rPr>
          <w:sz w:val="20"/>
          <w:szCs w:val="20"/>
        </w:rPr>
        <w:t>CMPB</w:t>
      </w:r>
      <w:r w:rsidR="00E60042" w:rsidRPr="00D243F1">
        <w:rPr>
          <w:sz w:val="20"/>
          <w:szCs w:val="20"/>
        </w:rPr>
        <w:t xml:space="preserve"> </w:t>
      </w:r>
      <w:r w:rsidRPr="00D243F1">
        <w:rPr>
          <w:sz w:val="20"/>
          <w:szCs w:val="20"/>
        </w:rPr>
        <w:t>or the State.</w:t>
      </w:r>
    </w:p>
    <w:p w14:paraId="4F225B01" w14:textId="77777777" w:rsidR="00161351" w:rsidRPr="00D243F1" w:rsidRDefault="00161351" w:rsidP="0041397F">
      <w:pPr>
        <w:pStyle w:val="Heading3"/>
      </w:pPr>
      <w:r w:rsidRPr="00D243F1">
        <w:t>Right to Cancel RFP</w:t>
      </w:r>
    </w:p>
    <w:p w14:paraId="740A0479" w14:textId="77777777" w:rsidR="00161351" w:rsidRPr="00D243F1" w:rsidRDefault="00B11CAB" w:rsidP="006D4383">
      <w:pPr>
        <w:ind w:left="720"/>
        <w:jc w:val="both"/>
        <w:rPr>
          <w:sz w:val="20"/>
          <w:szCs w:val="20"/>
        </w:rPr>
      </w:pPr>
      <w:r>
        <w:rPr>
          <w:sz w:val="20"/>
          <w:szCs w:val="20"/>
        </w:rPr>
        <w:t>The State</w:t>
      </w:r>
      <w:r w:rsidRPr="00D243F1">
        <w:rPr>
          <w:sz w:val="20"/>
          <w:szCs w:val="20"/>
        </w:rPr>
        <w:t xml:space="preserve"> </w:t>
      </w:r>
      <w:r w:rsidR="00161351" w:rsidRPr="00D243F1">
        <w:rPr>
          <w:sz w:val="20"/>
          <w:szCs w:val="20"/>
        </w:rPr>
        <w:t xml:space="preserve">reserves the right to cancel this RFP at any time during the procurement process, for any reason or for no reason. </w:t>
      </w:r>
      <w:r>
        <w:rPr>
          <w:sz w:val="20"/>
          <w:szCs w:val="20"/>
        </w:rPr>
        <w:t>The State</w:t>
      </w:r>
      <w:r w:rsidRPr="00D243F1">
        <w:rPr>
          <w:sz w:val="20"/>
          <w:szCs w:val="20"/>
        </w:rPr>
        <w:t xml:space="preserve"> </w:t>
      </w:r>
      <w:r w:rsidR="00161351" w:rsidRPr="00D243F1">
        <w:rPr>
          <w:sz w:val="20"/>
          <w:szCs w:val="20"/>
        </w:rPr>
        <w:t xml:space="preserve">makes no commitments, expressed or </w:t>
      </w:r>
      <w:proofErr w:type="gramStart"/>
      <w:r w:rsidR="00161351" w:rsidRPr="00D243F1">
        <w:rPr>
          <w:sz w:val="20"/>
          <w:szCs w:val="20"/>
        </w:rPr>
        <w:t>implied,</w:t>
      </w:r>
      <w:proofErr w:type="gramEnd"/>
      <w:r w:rsidR="00161351" w:rsidRPr="00D243F1">
        <w:rPr>
          <w:sz w:val="20"/>
          <w:szCs w:val="20"/>
        </w:rPr>
        <w:t xml:space="preserve"> that this process will result in a business transaction with any Vendor.</w:t>
      </w:r>
    </w:p>
    <w:p w14:paraId="3F5A8F0B" w14:textId="77777777" w:rsidR="00161351" w:rsidRPr="00D243F1" w:rsidRDefault="00161351" w:rsidP="0041397F">
      <w:pPr>
        <w:pStyle w:val="Heading3"/>
      </w:pPr>
      <w:r w:rsidRPr="00D243F1">
        <w:t>Revisions to the RFP</w:t>
      </w:r>
    </w:p>
    <w:p w14:paraId="102E60DB" w14:textId="77777777" w:rsidR="00161351" w:rsidRPr="00D243F1" w:rsidRDefault="00161351" w:rsidP="001A6F13">
      <w:pPr>
        <w:ind w:left="720"/>
        <w:jc w:val="both"/>
        <w:rPr>
          <w:sz w:val="20"/>
          <w:szCs w:val="20"/>
        </w:rPr>
      </w:pPr>
      <w:r w:rsidRPr="00D243F1">
        <w:rPr>
          <w:sz w:val="20"/>
          <w:szCs w:val="20"/>
        </w:rPr>
        <w:t xml:space="preserve">If it becomes necessary to revise any part of the RFP, an addendum </w:t>
      </w:r>
      <w:proofErr w:type="gramStart"/>
      <w:r w:rsidRPr="00D243F1">
        <w:rPr>
          <w:sz w:val="20"/>
          <w:szCs w:val="20"/>
        </w:rPr>
        <w:t>will be posted</w:t>
      </w:r>
      <w:proofErr w:type="gramEnd"/>
      <w:r w:rsidRPr="00D243F1">
        <w:rPr>
          <w:sz w:val="20"/>
          <w:szCs w:val="20"/>
        </w:rPr>
        <w:t xml:space="preserve"> with the original RFP at</w:t>
      </w:r>
      <w:r w:rsidR="001A6F13">
        <w:rPr>
          <w:sz w:val="20"/>
          <w:szCs w:val="20"/>
        </w:rPr>
        <w:t xml:space="preserve">: </w:t>
      </w:r>
      <w:hyperlink r:id="rId17" w:history="1">
        <w:r w:rsidRPr="00D243F1">
          <w:rPr>
            <w:rStyle w:val="Hyperlink"/>
            <w:sz w:val="20"/>
            <w:szCs w:val="20"/>
          </w:rPr>
          <w:t>http://bids.delaware.gov/</w:t>
        </w:r>
      </w:hyperlink>
      <w:r w:rsidR="00622EA3" w:rsidRPr="00D243F1">
        <w:rPr>
          <w:sz w:val="20"/>
          <w:szCs w:val="20"/>
        </w:rPr>
        <w:t>.</w:t>
      </w:r>
    </w:p>
    <w:p w14:paraId="5E466C73" w14:textId="77777777" w:rsidR="00161351" w:rsidRPr="00D243F1" w:rsidRDefault="00161351" w:rsidP="00B57C4D">
      <w:pPr>
        <w:pStyle w:val="Heading2"/>
        <w:numPr>
          <w:ilvl w:val="1"/>
          <w:numId w:val="126"/>
        </w:numPr>
        <w:tabs>
          <w:tab w:val="clear" w:pos="2880"/>
        </w:tabs>
        <w:ind w:left="360"/>
      </w:pPr>
      <w:r w:rsidRPr="00D243F1">
        <w:t>Submission of Proposals</w:t>
      </w:r>
    </w:p>
    <w:p w14:paraId="4EBB6F23" w14:textId="77777777" w:rsidR="00161351" w:rsidRPr="00D243F1" w:rsidRDefault="00161351" w:rsidP="0041397F">
      <w:pPr>
        <w:pStyle w:val="Heading3"/>
      </w:pPr>
      <w:r w:rsidRPr="00D243F1">
        <w:t>Form of Proposal</w:t>
      </w:r>
    </w:p>
    <w:p w14:paraId="07A3791F" w14:textId="77777777" w:rsidR="00D243F1" w:rsidRPr="00234B36" w:rsidRDefault="00D243F1" w:rsidP="006D4383">
      <w:pPr>
        <w:ind w:left="720"/>
        <w:jc w:val="both"/>
        <w:rPr>
          <w:sz w:val="20"/>
          <w:szCs w:val="20"/>
        </w:rPr>
      </w:pPr>
      <w:r>
        <w:rPr>
          <w:sz w:val="20"/>
          <w:szCs w:val="20"/>
        </w:rPr>
        <w:t xml:space="preserve">Vendors </w:t>
      </w:r>
      <w:r w:rsidR="00B41CB7">
        <w:rPr>
          <w:sz w:val="20"/>
          <w:szCs w:val="20"/>
        </w:rPr>
        <w:t>may</w:t>
      </w:r>
      <w:r>
        <w:rPr>
          <w:sz w:val="20"/>
          <w:szCs w:val="20"/>
        </w:rPr>
        <w:t xml:space="preserve"> submit only </w:t>
      </w:r>
      <w:r w:rsidRPr="00D243F1">
        <w:rPr>
          <w:b/>
          <w:sz w:val="20"/>
          <w:szCs w:val="20"/>
          <w:u w:val="single"/>
        </w:rPr>
        <w:t>one</w:t>
      </w:r>
      <w:r>
        <w:rPr>
          <w:sz w:val="20"/>
          <w:szCs w:val="20"/>
        </w:rPr>
        <w:t xml:space="preserve"> proposal to </w:t>
      </w:r>
      <w:r w:rsidRPr="00234B36">
        <w:rPr>
          <w:sz w:val="20"/>
          <w:szCs w:val="20"/>
        </w:rPr>
        <w:t>the State</w:t>
      </w:r>
      <w:r w:rsidR="00B27E36">
        <w:rPr>
          <w:sz w:val="20"/>
          <w:szCs w:val="20"/>
        </w:rPr>
        <w:t xml:space="preserve">. </w:t>
      </w:r>
      <w:r w:rsidR="00120927" w:rsidRPr="00234B36">
        <w:rPr>
          <w:sz w:val="20"/>
          <w:szCs w:val="20"/>
        </w:rPr>
        <w:t>Vendors</w:t>
      </w:r>
      <w:r w:rsidR="00B41CB7" w:rsidRPr="00234B36">
        <w:rPr>
          <w:sz w:val="20"/>
          <w:szCs w:val="20"/>
        </w:rPr>
        <w:t xml:space="preserve"> should organize proposals </w:t>
      </w:r>
      <w:r w:rsidR="002B711A" w:rsidRPr="00234B36">
        <w:rPr>
          <w:sz w:val="20"/>
          <w:szCs w:val="20"/>
        </w:rPr>
        <w:t xml:space="preserve">as described in </w:t>
      </w:r>
      <w:r w:rsidR="002B711A" w:rsidRPr="00234B36">
        <w:rPr>
          <w:b/>
          <w:sz w:val="20"/>
          <w:szCs w:val="20"/>
        </w:rPr>
        <w:t>Section V.A</w:t>
      </w:r>
      <w:r w:rsidR="002B711A" w:rsidRPr="00234B36">
        <w:rPr>
          <w:sz w:val="20"/>
          <w:szCs w:val="20"/>
        </w:rPr>
        <w:t xml:space="preserve">. </w:t>
      </w:r>
    </w:p>
    <w:p w14:paraId="256A40DA" w14:textId="77777777" w:rsidR="00161351" w:rsidRPr="00234B36" w:rsidRDefault="00161351" w:rsidP="0041397F">
      <w:pPr>
        <w:pStyle w:val="Heading3"/>
      </w:pPr>
      <w:r w:rsidRPr="00234B36">
        <w:t>Acknowledgement of Understanding of Terms</w:t>
      </w:r>
    </w:p>
    <w:p w14:paraId="7846B393" w14:textId="77777777" w:rsidR="00161351" w:rsidRPr="00234B36" w:rsidRDefault="00161351" w:rsidP="006D4383">
      <w:pPr>
        <w:ind w:left="720"/>
        <w:jc w:val="both"/>
        <w:rPr>
          <w:sz w:val="20"/>
          <w:szCs w:val="20"/>
        </w:rPr>
      </w:pPr>
      <w:r w:rsidRPr="00234B36">
        <w:rPr>
          <w:sz w:val="20"/>
          <w:szCs w:val="20"/>
        </w:rPr>
        <w:t xml:space="preserve">By submitting a proposal, a Vendor </w:t>
      </w:r>
      <w:proofErr w:type="gramStart"/>
      <w:r w:rsidRPr="00234B36">
        <w:rPr>
          <w:sz w:val="20"/>
          <w:szCs w:val="20"/>
        </w:rPr>
        <w:t>shall be deemed</w:t>
      </w:r>
      <w:proofErr w:type="gramEnd"/>
      <w:r w:rsidRPr="00234B36">
        <w:rPr>
          <w:sz w:val="20"/>
          <w:szCs w:val="20"/>
        </w:rPr>
        <w:t xml:space="preserve"> to acknowledge that it has carefully read all sections of this RFP, including all forms, schedules and attachments hereto, and has fully informed itself as to all existing conditions and limitations, including, without limitation, any minimum requirements herein. </w:t>
      </w:r>
    </w:p>
    <w:p w14:paraId="4B63FA13" w14:textId="77777777" w:rsidR="00161351" w:rsidRPr="00234B36" w:rsidRDefault="00161351" w:rsidP="006D4383">
      <w:pPr>
        <w:ind w:left="720"/>
        <w:jc w:val="both"/>
        <w:rPr>
          <w:sz w:val="20"/>
          <w:szCs w:val="20"/>
        </w:rPr>
      </w:pPr>
    </w:p>
    <w:p w14:paraId="557D857D" w14:textId="77777777" w:rsidR="00161351" w:rsidRPr="00B41CB7" w:rsidRDefault="00161351" w:rsidP="00893A2F">
      <w:pPr>
        <w:shd w:val="clear" w:color="auto" w:fill="FFFFFF" w:themeFill="background2"/>
        <w:ind w:left="720"/>
        <w:jc w:val="both"/>
        <w:rPr>
          <w:spacing w:val="-3"/>
          <w:sz w:val="20"/>
          <w:szCs w:val="20"/>
        </w:rPr>
      </w:pPr>
      <w:r w:rsidRPr="00234B36">
        <w:rPr>
          <w:spacing w:val="-3"/>
          <w:sz w:val="20"/>
          <w:szCs w:val="20"/>
        </w:rPr>
        <w:t xml:space="preserve">A Vendor must describe in detail on </w:t>
      </w:r>
      <w:r w:rsidR="00457053" w:rsidRPr="00234B36">
        <w:rPr>
          <w:b/>
          <w:spacing w:val="-3"/>
          <w:sz w:val="20"/>
          <w:szCs w:val="20"/>
        </w:rPr>
        <w:t xml:space="preserve">Attachment </w:t>
      </w:r>
      <w:r w:rsidR="00286BD7" w:rsidRPr="00234B36">
        <w:rPr>
          <w:b/>
          <w:spacing w:val="-3"/>
          <w:sz w:val="20"/>
          <w:szCs w:val="20"/>
        </w:rPr>
        <w:t>5</w:t>
      </w:r>
      <w:r w:rsidRPr="00234B36">
        <w:rPr>
          <w:spacing w:val="-3"/>
          <w:sz w:val="20"/>
          <w:szCs w:val="20"/>
        </w:rPr>
        <w:t xml:space="preserve"> any areas where it will be unable to provide services as requested. In addition, if a Vendor is willing to provide the services exactly as requested, but believes that there would be benefits (such as cost savings or improved service) to </w:t>
      </w:r>
      <w:proofErr w:type="gramStart"/>
      <w:r w:rsidRPr="00234B36">
        <w:rPr>
          <w:spacing w:val="-3"/>
          <w:sz w:val="20"/>
          <w:szCs w:val="20"/>
        </w:rPr>
        <w:t>making adjustments to</w:t>
      </w:r>
      <w:proofErr w:type="gramEnd"/>
      <w:r w:rsidRPr="00234B36">
        <w:rPr>
          <w:spacing w:val="-3"/>
          <w:sz w:val="20"/>
          <w:szCs w:val="20"/>
        </w:rPr>
        <w:t xml:space="preserve"> the services outlined, the Vendor should describe the adjustments and the benefits on </w:t>
      </w:r>
      <w:r w:rsidRPr="00234B36">
        <w:rPr>
          <w:b/>
          <w:spacing w:val="-3"/>
          <w:sz w:val="20"/>
          <w:szCs w:val="20"/>
        </w:rPr>
        <w:t>Attachment</w:t>
      </w:r>
      <w:r w:rsidR="004C1F13" w:rsidRPr="00234B36">
        <w:rPr>
          <w:b/>
          <w:spacing w:val="-3"/>
          <w:sz w:val="20"/>
          <w:szCs w:val="20"/>
        </w:rPr>
        <w:t xml:space="preserve"> </w:t>
      </w:r>
      <w:r w:rsidR="00286BD7" w:rsidRPr="00234B36">
        <w:rPr>
          <w:b/>
          <w:spacing w:val="-3"/>
          <w:sz w:val="20"/>
          <w:szCs w:val="20"/>
        </w:rPr>
        <w:t>5</w:t>
      </w:r>
      <w:r w:rsidRPr="00234B36">
        <w:rPr>
          <w:spacing w:val="-3"/>
          <w:sz w:val="20"/>
          <w:szCs w:val="20"/>
        </w:rPr>
        <w:t xml:space="preserve">. Acceptance or rejection of any or all such exceptions is within the discretion of </w:t>
      </w:r>
      <w:r w:rsidR="00B716A0" w:rsidRPr="00234B36">
        <w:rPr>
          <w:spacing w:val="-3"/>
          <w:sz w:val="20"/>
          <w:szCs w:val="20"/>
        </w:rPr>
        <w:t>the State</w:t>
      </w:r>
      <w:r w:rsidRPr="00234B36">
        <w:rPr>
          <w:spacing w:val="-3"/>
          <w:sz w:val="20"/>
          <w:szCs w:val="20"/>
        </w:rPr>
        <w:t>.</w:t>
      </w:r>
    </w:p>
    <w:p w14:paraId="4B76FD67" w14:textId="77777777" w:rsidR="00161351" w:rsidRPr="00B41CB7" w:rsidRDefault="00161351" w:rsidP="006D4383">
      <w:pPr>
        <w:ind w:left="720"/>
        <w:jc w:val="both"/>
        <w:rPr>
          <w:sz w:val="20"/>
          <w:szCs w:val="20"/>
        </w:rPr>
      </w:pPr>
    </w:p>
    <w:p w14:paraId="2EE42EF6" w14:textId="77777777" w:rsidR="00161351" w:rsidRPr="00B41CB7" w:rsidRDefault="00161351" w:rsidP="006D4383">
      <w:pPr>
        <w:ind w:left="720"/>
        <w:jc w:val="both"/>
        <w:rPr>
          <w:sz w:val="20"/>
          <w:szCs w:val="20"/>
        </w:rPr>
      </w:pPr>
      <w:r w:rsidRPr="00B41CB7">
        <w:rPr>
          <w:sz w:val="20"/>
          <w:szCs w:val="20"/>
        </w:rPr>
        <w:t xml:space="preserve">Upon receipt of Vendor proposals, each Vendor </w:t>
      </w:r>
      <w:proofErr w:type="gramStart"/>
      <w:r w:rsidRPr="00B41CB7">
        <w:rPr>
          <w:sz w:val="20"/>
          <w:szCs w:val="20"/>
        </w:rPr>
        <w:t>shall be presumed</w:t>
      </w:r>
      <w:proofErr w:type="gramEnd"/>
      <w:r w:rsidRPr="00B41CB7">
        <w:rPr>
          <w:sz w:val="20"/>
          <w:szCs w:val="20"/>
        </w:rPr>
        <w:t xml:space="preserve"> to be thoroughly familiar with all specifications and requirements of this RFP. A Vendor’s failure to consult with counsel or closely examine and understand any form, instrument or document shall in no way relieve a Vendor from any obligation with respect to this RFP.</w:t>
      </w:r>
    </w:p>
    <w:p w14:paraId="02EA6558" w14:textId="77777777" w:rsidR="00161351" w:rsidRPr="00B41CB7" w:rsidRDefault="00161351" w:rsidP="006D4383">
      <w:pPr>
        <w:ind w:left="720"/>
        <w:jc w:val="both"/>
        <w:rPr>
          <w:b/>
          <w:sz w:val="20"/>
          <w:szCs w:val="20"/>
        </w:rPr>
      </w:pPr>
    </w:p>
    <w:p w14:paraId="753E8981" w14:textId="77777777" w:rsidR="00161351" w:rsidRPr="00B41CB7" w:rsidRDefault="00161351" w:rsidP="006D4383">
      <w:pPr>
        <w:ind w:left="720"/>
        <w:jc w:val="both"/>
        <w:rPr>
          <w:b/>
          <w:sz w:val="20"/>
          <w:szCs w:val="20"/>
        </w:rPr>
      </w:pPr>
      <w:r w:rsidRPr="00B41CB7">
        <w:rPr>
          <w:sz w:val="20"/>
          <w:szCs w:val="20"/>
        </w:rPr>
        <w:t>Vendors must respond to all mandatory requirements presented in this RFP. The words “shall</w:t>
      </w:r>
      <w:r w:rsidRPr="00B41CB7">
        <w:rPr>
          <w:i/>
          <w:sz w:val="20"/>
          <w:szCs w:val="20"/>
        </w:rPr>
        <w:t>”</w:t>
      </w:r>
      <w:r w:rsidRPr="00B41CB7">
        <w:rPr>
          <w:sz w:val="20"/>
          <w:szCs w:val="20"/>
        </w:rPr>
        <w:t>, “will” and “must</w:t>
      </w:r>
      <w:r w:rsidRPr="00B41CB7">
        <w:rPr>
          <w:i/>
          <w:sz w:val="20"/>
          <w:szCs w:val="20"/>
        </w:rPr>
        <w:t>”</w:t>
      </w:r>
      <w:r w:rsidRPr="00B41CB7">
        <w:rPr>
          <w:sz w:val="20"/>
          <w:szCs w:val="20"/>
        </w:rPr>
        <w:t xml:space="preserve"> </w:t>
      </w:r>
      <w:proofErr w:type="gramStart"/>
      <w:r w:rsidRPr="00B41CB7">
        <w:rPr>
          <w:sz w:val="20"/>
          <w:szCs w:val="20"/>
        </w:rPr>
        <w:t>are used</w:t>
      </w:r>
      <w:proofErr w:type="gramEnd"/>
      <w:r w:rsidRPr="00B41CB7">
        <w:rPr>
          <w:sz w:val="20"/>
          <w:szCs w:val="20"/>
        </w:rPr>
        <w:t xml:space="preserve"> herein to designate a mandatory requirement. Failure to respond to a mandatory requirement </w:t>
      </w:r>
      <w:proofErr w:type="gramStart"/>
      <w:r w:rsidRPr="00B41CB7">
        <w:rPr>
          <w:sz w:val="20"/>
          <w:szCs w:val="20"/>
        </w:rPr>
        <w:t xml:space="preserve">may, in </w:t>
      </w:r>
      <w:r w:rsidR="00D279DC">
        <w:rPr>
          <w:sz w:val="20"/>
          <w:szCs w:val="20"/>
        </w:rPr>
        <w:t>the State</w:t>
      </w:r>
      <w:r w:rsidR="00D279DC" w:rsidRPr="00B41CB7">
        <w:rPr>
          <w:sz w:val="20"/>
          <w:szCs w:val="20"/>
        </w:rPr>
        <w:t xml:space="preserve">’s </w:t>
      </w:r>
      <w:r w:rsidRPr="00B41CB7">
        <w:rPr>
          <w:sz w:val="20"/>
          <w:szCs w:val="20"/>
        </w:rPr>
        <w:t>discretion, cause</w:t>
      </w:r>
      <w:proofErr w:type="gramEnd"/>
      <w:r w:rsidRPr="00B41CB7">
        <w:rPr>
          <w:sz w:val="20"/>
          <w:szCs w:val="20"/>
        </w:rPr>
        <w:t xml:space="preserve"> the disqualification of a Vendor’s proposal.</w:t>
      </w:r>
    </w:p>
    <w:p w14:paraId="7B2DFDF7" w14:textId="77777777" w:rsidR="00161351" w:rsidRPr="00B41CB7" w:rsidRDefault="00161351" w:rsidP="0041397F">
      <w:pPr>
        <w:pStyle w:val="Heading3"/>
      </w:pPr>
      <w:r w:rsidRPr="00B41CB7">
        <w:t>Proposal Deliveries</w:t>
      </w:r>
    </w:p>
    <w:p w14:paraId="2E74F76D" w14:textId="77777777" w:rsidR="002F5648" w:rsidRDefault="002F5648" w:rsidP="006D4383">
      <w:pPr>
        <w:ind w:left="720"/>
        <w:jc w:val="both"/>
        <w:rPr>
          <w:b/>
          <w:i/>
          <w:sz w:val="20"/>
          <w:szCs w:val="20"/>
        </w:rPr>
      </w:pPr>
    </w:p>
    <w:p w14:paraId="5844CC77" w14:textId="1DF09BCE" w:rsidR="00161351" w:rsidRPr="00B41CB7" w:rsidRDefault="00161351" w:rsidP="006D4383">
      <w:pPr>
        <w:ind w:left="720"/>
        <w:jc w:val="both"/>
        <w:rPr>
          <w:sz w:val="20"/>
          <w:szCs w:val="20"/>
        </w:rPr>
      </w:pPr>
      <w:r w:rsidRPr="00B41CB7">
        <w:rPr>
          <w:b/>
          <w:i/>
          <w:sz w:val="20"/>
          <w:szCs w:val="20"/>
        </w:rPr>
        <w:t xml:space="preserve">The deadline for submissions is 4:00 p.m. ET </w:t>
      </w:r>
      <w:r w:rsidRPr="0044433D">
        <w:rPr>
          <w:b/>
          <w:i/>
          <w:sz w:val="20"/>
          <w:szCs w:val="20"/>
        </w:rPr>
        <w:t xml:space="preserve">on </w:t>
      </w:r>
      <w:r w:rsidR="00D161BC">
        <w:rPr>
          <w:b/>
          <w:i/>
          <w:sz w:val="20"/>
          <w:szCs w:val="20"/>
        </w:rPr>
        <w:t>April 2</w:t>
      </w:r>
      <w:r w:rsidR="006E7020" w:rsidRPr="00CC34E6">
        <w:rPr>
          <w:b/>
          <w:i/>
          <w:sz w:val="20"/>
          <w:szCs w:val="20"/>
        </w:rPr>
        <w:t>, 2019</w:t>
      </w:r>
      <w:r w:rsidRPr="006E7020">
        <w:rPr>
          <w:b/>
          <w:i/>
          <w:sz w:val="20"/>
          <w:szCs w:val="20"/>
        </w:rPr>
        <w:t>.</w:t>
      </w:r>
      <w:r w:rsidRPr="00B41CB7">
        <w:rPr>
          <w:b/>
          <w:i/>
          <w:sz w:val="20"/>
          <w:szCs w:val="20"/>
        </w:rPr>
        <w:t xml:space="preserve"> </w:t>
      </w:r>
      <w:r w:rsidRPr="00B41CB7">
        <w:rPr>
          <w:sz w:val="20"/>
          <w:szCs w:val="20"/>
        </w:rPr>
        <w:t xml:space="preserve"> </w:t>
      </w:r>
    </w:p>
    <w:p w14:paraId="6264D017" w14:textId="77777777" w:rsidR="00161351" w:rsidRPr="00B41CB7" w:rsidRDefault="00161351" w:rsidP="006D4383">
      <w:pPr>
        <w:ind w:left="720"/>
        <w:jc w:val="both"/>
        <w:rPr>
          <w:sz w:val="20"/>
          <w:szCs w:val="20"/>
        </w:rPr>
      </w:pPr>
    </w:p>
    <w:p w14:paraId="508FDA8C" w14:textId="77777777" w:rsidR="00C611A2" w:rsidRDefault="00161351" w:rsidP="006D4383">
      <w:pPr>
        <w:ind w:left="720"/>
        <w:jc w:val="both"/>
        <w:rPr>
          <w:sz w:val="20"/>
          <w:szCs w:val="20"/>
        </w:rPr>
      </w:pPr>
      <w:r w:rsidRPr="00B41CB7">
        <w:rPr>
          <w:sz w:val="20"/>
          <w:szCs w:val="20"/>
        </w:rPr>
        <w:t xml:space="preserve">Submissions must be sent </w:t>
      </w:r>
      <w:proofErr w:type="gramStart"/>
      <w:r w:rsidRPr="00B41CB7">
        <w:rPr>
          <w:sz w:val="20"/>
          <w:szCs w:val="20"/>
        </w:rPr>
        <w:t>so as to</w:t>
      </w:r>
      <w:proofErr w:type="gramEnd"/>
      <w:r w:rsidRPr="00B41CB7">
        <w:rPr>
          <w:sz w:val="20"/>
          <w:szCs w:val="20"/>
        </w:rPr>
        <w:t xml:space="preserve"> be received by the Designated Contact by the submission deadline. The Vendor will submit </w:t>
      </w:r>
      <w:r w:rsidR="009D77E1">
        <w:rPr>
          <w:sz w:val="20"/>
          <w:szCs w:val="20"/>
        </w:rPr>
        <w:t>eight</w:t>
      </w:r>
      <w:r w:rsidR="00A61E7B">
        <w:rPr>
          <w:sz w:val="20"/>
          <w:szCs w:val="20"/>
        </w:rPr>
        <w:t xml:space="preserve"> </w:t>
      </w:r>
      <w:r w:rsidR="00C611A2">
        <w:rPr>
          <w:sz w:val="20"/>
          <w:szCs w:val="20"/>
        </w:rPr>
        <w:t>(</w:t>
      </w:r>
      <w:r w:rsidR="009D77E1">
        <w:rPr>
          <w:sz w:val="20"/>
          <w:szCs w:val="20"/>
        </w:rPr>
        <w:t>8</w:t>
      </w:r>
      <w:r w:rsidR="00C611A2">
        <w:rPr>
          <w:sz w:val="20"/>
          <w:szCs w:val="20"/>
        </w:rPr>
        <w:t>)</w:t>
      </w:r>
      <w:r w:rsidRPr="00B41CB7">
        <w:rPr>
          <w:sz w:val="20"/>
          <w:szCs w:val="20"/>
        </w:rPr>
        <w:t xml:space="preserve"> paper copies </w:t>
      </w:r>
      <w:r w:rsidRPr="00B41CB7">
        <w:rPr>
          <w:sz w:val="20"/>
          <w:szCs w:val="20"/>
          <w:u w:val="single"/>
        </w:rPr>
        <w:t>and</w:t>
      </w:r>
      <w:r w:rsidRPr="00B41CB7">
        <w:rPr>
          <w:sz w:val="20"/>
          <w:szCs w:val="20"/>
        </w:rPr>
        <w:t xml:space="preserve"> </w:t>
      </w:r>
      <w:r w:rsidR="009D77E1">
        <w:rPr>
          <w:sz w:val="20"/>
          <w:szCs w:val="20"/>
        </w:rPr>
        <w:t>eight</w:t>
      </w:r>
      <w:r w:rsidR="00A61E7B">
        <w:rPr>
          <w:sz w:val="20"/>
          <w:szCs w:val="20"/>
        </w:rPr>
        <w:t xml:space="preserve"> </w:t>
      </w:r>
      <w:r w:rsidR="00C611A2">
        <w:rPr>
          <w:sz w:val="20"/>
          <w:szCs w:val="20"/>
        </w:rPr>
        <w:t>(</w:t>
      </w:r>
      <w:r w:rsidR="009D77E1">
        <w:rPr>
          <w:sz w:val="20"/>
          <w:szCs w:val="20"/>
        </w:rPr>
        <w:t>8</w:t>
      </w:r>
      <w:r w:rsidR="00C611A2">
        <w:rPr>
          <w:sz w:val="20"/>
          <w:szCs w:val="20"/>
        </w:rPr>
        <w:t xml:space="preserve">) </w:t>
      </w:r>
      <w:r w:rsidRPr="00B41CB7">
        <w:rPr>
          <w:sz w:val="20"/>
          <w:szCs w:val="20"/>
        </w:rPr>
        <w:t xml:space="preserve">electronic copies on USB drives. One of the </w:t>
      </w:r>
      <w:r w:rsidR="004972D6">
        <w:rPr>
          <w:sz w:val="20"/>
          <w:szCs w:val="20"/>
        </w:rPr>
        <w:t>eight (8)</w:t>
      </w:r>
      <w:r w:rsidR="00A61E7B">
        <w:rPr>
          <w:sz w:val="20"/>
          <w:szCs w:val="20"/>
        </w:rPr>
        <w:t xml:space="preserve"> </w:t>
      </w:r>
      <w:r w:rsidRPr="00B41CB7">
        <w:rPr>
          <w:sz w:val="20"/>
          <w:szCs w:val="20"/>
        </w:rPr>
        <w:t xml:space="preserve">hard copy proposals </w:t>
      </w:r>
      <w:proofErr w:type="gramStart"/>
      <w:r w:rsidRPr="00B41CB7">
        <w:rPr>
          <w:sz w:val="20"/>
          <w:szCs w:val="20"/>
        </w:rPr>
        <w:t>will be clearly labeled</w:t>
      </w:r>
      <w:proofErr w:type="gramEnd"/>
      <w:r w:rsidRPr="00B41CB7">
        <w:rPr>
          <w:sz w:val="20"/>
          <w:szCs w:val="20"/>
        </w:rPr>
        <w:t xml:space="preserve"> as the “master” copy. </w:t>
      </w:r>
    </w:p>
    <w:p w14:paraId="39BFFEAF" w14:textId="77777777" w:rsidR="00E35570" w:rsidRDefault="00E35570" w:rsidP="006D4383">
      <w:pPr>
        <w:ind w:left="720"/>
        <w:jc w:val="both"/>
        <w:rPr>
          <w:sz w:val="20"/>
          <w:szCs w:val="20"/>
        </w:rPr>
      </w:pPr>
    </w:p>
    <w:p w14:paraId="159A408A" w14:textId="77777777" w:rsidR="00161351" w:rsidRPr="00B41CB7" w:rsidRDefault="00161351" w:rsidP="006D4383">
      <w:pPr>
        <w:ind w:left="720"/>
        <w:jc w:val="both"/>
        <w:rPr>
          <w:sz w:val="20"/>
          <w:szCs w:val="20"/>
        </w:rPr>
      </w:pPr>
      <w:r w:rsidRPr="00B41CB7">
        <w:rPr>
          <w:sz w:val="20"/>
          <w:szCs w:val="20"/>
        </w:rPr>
        <w:t xml:space="preserve">The </w:t>
      </w:r>
      <w:proofErr w:type="gramStart"/>
      <w:r w:rsidRPr="00B41CB7">
        <w:rPr>
          <w:sz w:val="20"/>
          <w:szCs w:val="20"/>
        </w:rPr>
        <w:t>proposal package delivery address</w:t>
      </w:r>
      <w:proofErr w:type="gramEnd"/>
      <w:r w:rsidRPr="00B41CB7">
        <w:rPr>
          <w:sz w:val="20"/>
          <w:szCs w:val="20"/>
        </w:rPr>
        <w:t xml:space="preserve"> is:</w:t>
      </w:r>
    </w:p>
    <w:p w14:paraId="59AAB41D" w14:textId="77777777" w:rsidR="00161351" w:rsidRPr="00B41CB7" w:rsidRDefault="00161351" w:rsidP="006D4383">
      <w:pPr>
        <w:ind w:left="720"/>
        <w:rPr>
          <w:sz w:val="20"/>
          <w:szCs w:val="20"/>
        </w:rPr>
      </w:pPr>
    </w:p>
    <w:p w14:paraId="04CCAF67" w14:textId="77777777" w:rsidR="00E35570" w:rsidRDefault="00E35570" w:rsidP="006D4383">
      <w:pPr>
        <w:ind w:left="720"/>
        <w:rPr>
          <w:sz w:val="20"/>
          <w:szCs w:val="20"/>
        </w:rPr>
      </w:pPr>
      <w:r>
        <w:rPr>
          <w:sz w:val="20"/>
          <w:szCs w:val="20"/>
        </w:rPr>
        <w:t xml:space="preserve">Client: </w:t>
      </w:r>
      <w:r>
        <w:rPr>
          <w:sz w:val="20"/>
          <w:szCs w:val="20"/>
        </w:rPr>
        <w:tab/>
      </w:r>
      <w:r>
        <w:rPr>
          <w:sz w:val="20"/>
          <w:szCs w:val="20"/>
        </w:rPr>
        <w:tab/>
        <w:t>State of Delaware</w:t>
      </w:r>
    </w:p>
    <w:p w14:paraId="3B71C75A" w14:textId="77777777" w:rsidR="00161351" w:rsidRPr="00B41CB7" w:rsidRDefault="00161351" w:rsidP="006D4383">
      <w:pPr>
        <w:ind w:left="720"/>
        <w:rPr>
          <w:sz w:val="20"/>
          <w:szCs w:val="20"/>
        </w:rPr>
      </w:pPr>
      <w:r w:rsidRPr="00B41CB7">
        <w:rPr>
          <w:sz w:val="20"/>
          <w:szCs w:val="20"/>
        </w:rPr>
        <w:t xml:space="preserve">Name: </w:t>
      </w:r>
      <w:r w:rsidRPr="00B41CB7">
        <w:rPr>
          <w:sz w:val="20"/>
          <w:szCs w:val="20"/>
        </w:rPr>
        <w:tab/>
      </w:r>
      <w:r w:rsidRPr="00B41CB7">
        <w:rPr>
          <w:sz w:val="20"/>
          <w:szCs w:val="20"/>
        </w:rPr>
        <w:tab/>
        <w:t>Joshua Berkow</w:t>
      </w:r>
    </w:p>
    <w:p w14:paraId="16F9A5BC" w14:textId="77777777" w:rsidR="00161351" w:rsidRPr="00B41CB7" w:rsidRDefault="00161351" w:rsidP="006D4383">
      <w:pPr>
        <w:ind w:left="720"/>
        <w:rPr>
          <w:sz w:val="20"/>
          <w:szCs w:val="20"/>
        </w:rPr>
      </w:pPr>
      <w:r w:rsidRPr="00B41CB7">
        <w:rPr>
          <w:sz w:val="20"/>
          <w:szCs w:val="20"/>
        </w:rPr>
        <w:t xml:space="preserve">Title: </w:t>
      </w:r>
      <w:r w:rsidRPr="00B41CB7">
        <w:rPr>
          <w:sz w:val="20"/>
          <w:szCs w:val="20"/>
        </w:rPr>
        <w:tab/>
      </w:r>
      <w:r w:rsidRPr="00B41CB7">
        <w:rPr>
          <w:sz w:val="20"/>
          <w:szCs w:val="20"/>
        </w:rPr>
        <w:tab/>
        <w:t>Director of Debt and Cash Management</w:t>
      </w:r>
    </w:p>
    <w:p w14:paraId="0257CF34" w14:textId="77777777" w:rsidR="00161351" w:rsidRPr="00B41CB7" w:rsidRDefault="00161351" w:rsidP="006D4383">
      <w:pPr>
        <w:ind w:left="720"/>
        <w:rPr>
          <w:sz w:val="20"/>
          <w:szCs w:val="20"/>
        </w:rPr>
      </w:pPr>
      <w:r w:rsidRPr="00B41CB7">
        <w:rPr>
          <w:sz w:val="20"/>
          <w:szCs w:val="20"/>
        </w:rPr>
        <w:t xml:space="preserve">Address: </w:t>
      </w:r>
      <w:r w:rsidRPr="00B41CB7">
        <w:rPr>
          <w:sz w:val="20"/>
          <w:szCs w:val="20"/>
        </w:rPr>
        <w:tab/>
        <w:t>820 Silver Lake Boulevard, Suite 100</w:t>
      </w:r>
    </w:p>
    <w:p w14:paraId="7DB4B050" w14:textId="77777777" w:rsidR="00161351" w:rsidRPr="00B41CB7" w:rsidRDefault="00161351" w:rsidP="006D4383">
      <w:pPr>
        <w:ind w:left="720"/>
        <w:rPr>
          <w:sz w:val="20"/>
          <w:szCs w:val="20"/>
        </w:rPr>
      </w:pPr>
      <w:r w:rsidRPr="00B41CB7">
        <w:rPr>
          <w:sz w:val="20"/>
          <w:szCs w:val="20"/>
        </w:rPr>
        <w:t xml:space="preserve">City/State: </w:t>
      </w:r>
      <w:r w:rsidRPr="00B41CB7">
        <w:rPr>
          <w:sz w:val="20"/>
          <w:szCs w:val="20"/>
        </w:rPr>
        <w:tab/>
        <w:t xml:space="preserve">Dover, DE </w:t>
      </w:r>
    </w:p>
    <w:p w14:paraId="17DCF6A3" w14:textId="77777777" w:rsidR="00161351" w:rsidRPr="00B41CB7" w:rsidRDefault="00161351" w:rsidP="006D4383">
      <w:pPr>
        <w:ind w:left="720"/>
        <w:rPr>
          <w:sz w:val="20"/>
          <w:szCs w:val="20"/>
        </w:rPr>
      </w:pPr>
      <w:r w:rsidRPr="00B41CB7">
        <w:rPr>
          <w:sz w:val="20"/>
          <w:szCs w:val="20"/>
        </w:rPr>
        <w:t xml:space="preserve">ZIP: </w:t>
      </w:r>
      <w:r w:rsidRPr="00B41CB7">
        <w:rPr>
          <w:sz w:val="20"/>
          <w:szCs w:val="20"/>
        </w:rPr>
        <w:tab/>
      </w:r>
      <w:r w:rsidRPr="00B41CB7">
        <w:rPr>
          <w:sz w:val="20"/>
          <w:szCs w:val="20"/>
        </w:rPr>
        <w:tab/>
        <w:t>19904</w:t>
      </w:r>
    </w:p>
    <w:p w14:paraId="12EE824A" w14:textId="77777777" w:rsidR="00161351" w:rsidRPr="00B41CB7" w:rsidRDefault="00161351" w:rsidP="006D4383">
      <w:pPr>
        <w:ind w:left="720"/>
        <w:rPr>
          <w:sz w:val="20"/>
          <w:szCs w:val="20"/>
        </w:rPr>
      </w:pPr>
      <w:r w:rsidRPr="00B41CB7">
        <w:rPr>
          <w:sz w:val="20"/>
          <w:szCs w:val="20"/>
        </w:rPr>
        <w:t xml:space="preserve">Email: </w:t>
      </w:r>
      <w:r w:rsidRPr="00B41CB7">
        <w:rPr>
          <w:sz w:val="20"/>
          <w:szCs w:val="20"/>
        </w:rPr>
        <w:tab/>
      </w:r>
      <w:r w:rsidRPr="00B41CB7">
        <w:rPr>
          <w:sz w:val="20"/>
          <w:szCs w:val="20"/>
        </w:rPr>
        <w:tab/>
      </w:r>
      <w:hyperlink r:id="rId18" w:history="1">
        <w:r w:rsidR="002F1C18" w:rsidRPr="00977714">
          <w:rPr>
            <w:rStyle w:val="Hyperlink"/>
            <w:sz w:val="20"/>
            <w:szCs w:val="20"/>
          </w:rPr>
          <w:t>Treasury_RFP@delaware.gov</w:t>
        </w:r>
      </w:hyperlink>
      <w:r w:rsidR="002F1C18">
        <w:rPr>
          <w:sz w:val="20"/>
          <w:szCs w:val="20"/>
        </w:rPr>
        <w:t xml:space="preserve"> </w:t>
      </w:r>
    </w:p>
    <w:p w14:paraId="630917C3" w14:textId="77777777" w:rsidR="00161351" w:rsidRPr="00B41CB7" w:rsidRDefault="00161351" w:rsidP="006D4383">
      <w:pPr>
        <w:ind w:left="720"/>
        <w:rPr>
          <w:sz w:val="20"/>
          <w:szCs w:val="20"/>
        </w:rPr>
      </w:pPr>
    </w:p>
    <w:p w14:paraId="6EE18D99" w14:textId="16F41D1A" w:rsidR="00161351" w:rsidRPr="00B41CB7" w:rsidRDefault="00161351" w:rsidP="006D4383">
      <w:pPr>
        <w:ind w:left="720"/>
        <w:rPr>
          <w:sz w:val="20"/>
          <w:szCs w:val="20"/>
        </w:rPr>
      </w:pPr>
      <w:r w:rsidRPr="00B41CB7">
        <w:rPr>
          <w:sz w:val="20"/>
          <w:szCs w:val="20"/>
        </w:rPr>
        <w:t xml:space="preserve">Additionally, the Vendor will submit </w:t>
      </w:r>
      <w:r w:rsidR="00CC1C93">
        <w:rPr>
          <w:sz w:val="20"/>
          <w:szCs w:val="20"/>
        </w:rPr>
        <w:t xml:space="preserve">one </w:t>
      </w:r>
      <w:r w:rsidR="00C611A2">
        <w:rPr>
          <w:sz w:val="20"/>
          <w:szCs w:val="20"/>
        </w:rPr>
        <w:t>(</w:t>
      </w:r>
      <w:r w:rsidR="00CC1C93">
        <w:rPr>
          <w:sz w:val="20"/>
          <w:szCs w:val="20"/>
        </w:rPr>
        <w:t>1</w:t>
      </w:r>
      <w:r w:rsidR="00C611A2">
        <w:rPr>
          <w:sz w:val="20"/>
          <w:szCs w:val="20"/>
        </w:rPr>
        <w:t xml:space="preserve">) </w:t>
      </w:r>
      <w:r w:rsidRPr="00B41CB7">
        <w:rPr>
          <w:sz w:val="20"/>
          <w:szCs w:val="20"/>
        </w:rPr>
        <w:t xml:space="preserve">paper </w:t>
      </w:r>
      <w:r w:rsidR="00E60042" w:rsidRPr="00B41CB7">
        <w:rPr>
          <w:sz w:val="20"/>
          <w:szCs w:val="20"/>
        </w:rPr>
        <w:t>cop</w:t>
      </w:r>
      <w:r w:rsidR="00E60042">
        <w:rPr>
          <w:sz w:val="20"/>
          <w:szCs w:val="20"/>
        </w:rPr>
        <w:t>y</w:t>
      </w:r>
      <w:r w:rsidR="00E60042" w:rsidRPr="00B41CB7">
        <w:rPr>
          <w:sz w:val="20"/>
          <w:szCs w:val="20"/>
        </w:rPr>
        <w:t xml:space="preserve"> </w:t>
      </w:r>
      <w:r w:rsidRPr="00B41CB7">
        <w:rPr>
          <w:sz w:val="20"/>
          <w:szCs w:val="20"/>
        </w:rPr>
        <w:t xml:space="preserve">and one </w:t>
      </w:r>
      <w:r w:rsidR="00E60042">
        <w:rPr>
          <w:sz w:val="20"/>
          <w:szCs w:val="20"/>
        </w:rPr>
        <w:t xml:space="preserve">(1) </w:t>
      </w:r>
      <w:r w:rsidRPr="00B41CB7">
        <w:rPr>
          <w:sz w:val="20"/>
          <w:szCs w:val="20"/>
        </w:rPr>
        <w:t xml:space="preserve">electronic copy on a USB drive to the Consultant enlisted by the OST. The </w:t>
      </w:r>
      <w:proofErr w:type="gramStart"/>
      <w:r w:rsidRPr="00B41CB7">
        <w:rPr>
          <w:sz w:val="20"/>
          <w:szCs w:val="20"/>
        </w:rPr>
        <w:t>proposal package delivery address</w:t>
      </w:r>
      <w:proofErr w:type="gramEnd"/>
      <w:r w:rsidRPr="00B41CB7">
        <w:rPr>
          <w:sz w:val="20"/>
          <w:szCs w:val="20"/>
        </w:rPr>
        <w:t xml:space="preserve"> for the Consultant is:</w:t>
      </w:r>
    </w:p>
    <w:p w14:paraId="5E0206CA" w14:textId="77777777" w:rsidR="00161351" w:rsidRPr="00B41CB7" w:rsidRDefault="00161351" w:rsidP="006D4383">
      <w:pPr>
        <w:ind w:left="720"/>
        <w:rPr>
          <w:sz w:val="20"/>
          <w:szCs w:val="20"/>
        </w:rPr>
      </w:pPr>
    </w:p>
    <w:p w14:paraId="0ECB55EB" w14:textId="77777777" w:rsidR="00161351" w:rsidRPr="00B41CB7" w:rsidRDefault="00161351" w:rsidP="006D4383">
      <w:pPr>
        <w:ind w:left="720"/>
        <w:jc w:val="both"/>
        <w:rPr>
          <w:sz w:val="20"/>
          <w:szCs w:val="20"/>
        </w:rPr>
      </w:pPr>
      <w:r w:rsidRPr="00B41CB7">
        <w:rPr>
          <w:sz w:val="20"/>
          <w:szCs w:val="20"/>
        </w:rPr>
        <w:t>Consultant:</w:t>
      </w:r>
      <w:r w:rsidRPr="00B41CB7">
        <w:rPr>
          <w:sz w:val="20"/>
          <w:szCs w:val="20"/>
        </w:rPr>
        <w:tab/>
        <w:t>PFM Asset Management, LLC</w:t>
      </w:r>
    </w:p>
    <w:p w14:paraId="29ABC661" w14:textId="77777777" w:rsidR="00161351" w:rsidRPr="00B41CB7" w:rsidRDefault="002C381A" w:rsidP="00FA01D7">
      <w:pPr>
        <w:ind w:left="720"/>
        <w:jc w:val="both"/>
        <w:rPr>
          <w:sz w:val="20"/>
          <w:szCs w:val="20"/>
        </w:rPr>
      </w:pPr>
      <w:r w:rsidRPr="00B41CB7">
        <w:rPr>
          <w:sz w:val="20"/>
          <w:szCs w:val="20"/>
        </w:rPr>
        <w:t>Name</w:t>
      </w:r>
      <w:r w:rsidR="00161351" w:rsidRPr="00B41CB7">
        <w:rPr>
          <w:sz w:val="20"/>
          <w:szCs w:val="20"/>
        </w:rPr>
        <w:t xml:space="preserve">: </w:t>
      </w:r>
      <w:r w:rsidRPr="00B41CB7">
        <w:rPr>
          <w:sz w:val="20"/>
          <w:szCs w:val="20"/>
        </w:rPr>
        <w:tab/>
      </w:r>
      <w:r w:rsidRPr="00B41CB7">
        <w:rPr>
          <w:sz w:val="20"/>
          <w:szCs w:val="20"/>
        </w:rPr>
        <w:tab/>
      </w:r>
      <w:r w:rsidR="00161351" w:rsidRPr="00B41CB7">
        <w:rPr>
          <w:sz w:val="20"/>
          <w:szCs w:val="20"/>
        </w:rPr>
        <w:t>David Calvert</w:t>
      </w:r>
      <w:r w:rsidRPr="00B41CB7">
        <w:rPr>
          <w:sz w:val="20"/>
          <w:szCs w:val="20"/>
        </w:rPr>
        <w:t>, CFA</w:t>
      </w:r>
    </w:p>
    <w:p w14:paraId="3DE63EF2" w14:textId="77777777" w:rsidR="002C381A" w:rsidRPr="00B41CB7" w:rsidRDefault="002C381A" w:rsidP="006D4383">
      <w:pPr>
        <w:ind w:left="720"/>
        <w:jc w:val="both"/>
        <w:rPr>
          <w:sz w:val="20"/>
          <w:szCs w:val="20"/>
        </w:rPr>
      </w:pPr>
      <w:r w:rsidRPr="00B41CB7">
        <w:rPr>
          <w:sz w:val="20"/>
          <w:szCs w:val="20"/>
        </w:rPr>
        <w:t>Title:</w:t>
      </w:r>
      <w:r w:rsidRPr="00B41CB7">
        <w:rPr>
          <w:sz w:val="20"/>
          <w:szCs w:val="20"/>
        </w:rPr>
        <w:tab/>
      </w:r>
      <w:r w:rsidRPr="00B41CB7">
        <w:rPr>
          <w:sz w:val="20"/>
          <w:szCs w:val="20"/>
        </w:rPr>
        <w:tab/>
        <w:t>Director</w:t>
      </w:r>
    </w:p>
    <w:p w14:paraId="45099D3C" w14:textId="77777777" w:rsidR="00161351" w:rsidRPr="00B41CB7" w:rsidRDefault="002C381A" w:rsidP="006D4383">
      <w:pPr>
        <w:ind w:left="720"/>
        <w:jc w:val="both"/>
        <w:rPr>
          <w:sz w:val="20"/>
          <w:szCs w:val="20"/>
        </w:rPr>
      </w:pPr>
      <w:r w:rsidRPr="00B41CB7">
        <w:rPr>
          <w:sz w:val="20"/>
          <w:szCs w:val="20"/>
        </w:rPr>
        <w:t>Address:</w:t>
      </w:r>
      <w:r w:rsidRPr="00B41CB7">
        <w:rPr>
          <w:sz w:val="20"/>
          <w:szCs w:val="20"/>
        </w:rPr>
        <w:tab/>
      </w:r>
      <w:r w:rsidR="00161351" w:rsidRPr="00B41CB7">
        <w:rPr>
          <w:sz w:val="20"/>
          <w:szCs w:val="20"/>
        </w:rPr>
        <w:t>213 Market Street</w:t>
      </w:r>
    </w:p>
    <w:p w14:paraId="1CE1E00A" w14:textId="77777777" w:rsidR="002C381A" w:rsidRPr="00B41CB7" w:rsidRDefault="002C381A" w:rsidP="006D4383">
      <w:pPr>
        <w:ind w:left="720"/>
        <w:jc w:val="both"/>
        <w:rPr>
          <w:sz w:val="20"/>
          <w:szCs w:val="20"/>
        </w:rPr>
      </w:pPr>
      <w:r w:rsidRPr="00B41CB7">
        <w:rPr>
          <w:sz w:val="20"/>
          <w:szCs w:val="20"/>
        </w:rPr>
        <w:t>City/State:</w:t>
      </w:r>
      <w:r w:rsidRPr="00B41CB7">
        <w:rPr>
          <w:sz w:val="20"/>
          <w:szCs w:val="20"/>
        </w:rPr>
        <w:tab/>
      </w:r>
      <w:r w:rsidR="00161351" w:rsidRPr="00B41CB7">
        <w:rPr>
          <w:sz w:val="20"/>
          <w:szCs w:val="20"/>
        </w:rPr>
        <w:t>Harrisburg, PA</w:t>
      </w:r>
    </w:p>
    <w:p w14:paraId="205C9FEC" w14:textId="77777777" w:rsidR="00161351" w:rsidRPr="00B41CB7" w:rsidRDefault="002C381A" w:rsidP="006D4383">
      <w:pPr>
        <w:ind w:left="720"/>
        <w:jc w:val="both"/>
        <w:rPr>
          <w:b/>
          <w:sz w:val="20"/>
          <w:szCs w:val="20"/>
        </w:rPr>
      </w:pPr>
      <w:r w:rsidRPr="00B41CB7">
        <w:rPr>
          <w:sz w:val="20"/>
          <w:szCs w:val="20"/>
        </w:rPr>
        <w:t>ZIP:</w:t>
      </w:r>
      <w:r w:rsidRPr="00B41CB7">
        <w:rPr>
          <w:sz w:val="20"/>
          <w:szCs w:val="20"/>
        </w:rPr>
        <w:tab/>
      </w:r>
      <w:r w:rsidRPr="00B41CB7">
        <w:rPr>
          <w:sz w:val="20"/>
          <w:szCs w:val="20"/>
        </w:rPr>
        <w:tab/>
      </w:r>
      <w:r w:rsidR="00161351" w:rsidRPr="00B41CB7">
        <w:rPr>
          <w:sz w:val="20"/>
          <w:szCs w:val="20"/>
        </w:rPr>
        <w:t>17101</w:t>
      </w:r>
      <w:r w:rsidR="00161351" w:rsidRPr="00B41CB7">
        <w:rPr>
          <w:b/>
          <w:sz w:val="20"/>
          <w:szCs w:val="20"/>
        </w:rPr>
        <w:t xml:space="preserve">  </w:t>
      </w:r>
    </w:p>
    <w:p w14:paraId="1C6FF4BB" w14:textId="77777777" w:rsidR="00161351" w:rsidRPr="00B41CB7" w:rsidRDefault="002C381A" w:rsidP="006D4383">
      <w:pPr>
        <w:ind w:left="720"/>
        <w:jc w:val="both"/>
        <w:rPr>
          <w:sz w:val="20"/>
          <w:szCs w:val="20"/>
        </w:rPr>
      </w:pPr>
      <w:r w:rsidRPr="00B41CB7">
        <w:rPr>
          <w:sz w:val="20"/>
          <w:szCs w:val="20"/>
        </w:rPr>
        <w:t>Email:</w:t>
      </w:r>
      <w:r w:rsidRPr="00B41CB7">
        <w:rPr>
          <w:sz w:val="20"/>
          <w:szCs w:val="20"/>
        </w:rPr>
        <w:tab/>
      </w:r>
      <w:r w:rsidRPr="00B41CB7">
        <w:rPr>
          <w:sz w:val="20"/>
          <w:szCs w:val="20"/>
        </w:rPr>
        <w:tab/>
      </w:r>
      <w:hyperlink r:id="rId19" w:history="1">
        <w:r w:rsidR="00E35570" w:rsidRPr="00DA070D">
          <w:rPr>
            <w:rStyle w:val="Hyperlink"/>
            <w:sz w:val="20"/>
            <w:szCs w:val="20"/>
          </w:rPr>
          <w:t>calvertd@pfm.com</w:t>
        </w:r>
      </w:hyperlink>
      <w:r w:rsidR="00E35570">
        <w:rPr>
          <w:sz w:val="20"/>
          <w:szCs w:val="20"/>
        </w:rPr>
        <w:t xml:space="preserve"> </w:t>
      </w:r>
    </w:p>
    <w:p w14:paraId="0E0C752A" w14:textId="77777777" w:rsidR="00161351" w:rsidRPr="00B41CB7" w:rsidRDefault="00161351" w:rsidP="006D4383">
      <w:pPr>
        <w:ind w:left="720"/>
        <w:rPr>
          <w:sz w:val="20"/>
          <w:szCs w:val="20"/>
        </w:rPr>
      </w:pPr>
    </w:p>
    <w:p w14:paraId="0EF78DD3" w14:textId="77777777" w:rsidR="002C381A" w:rsidRPr="00B41CB7" w:rsidRDefault="002C381A" w:rsidP="00893A2F">
      <w:pPr>
        <w:pStyle w:val="ScopeofServices"/>
        <w:jc w:val="both"/>
        <w:rPr>
          <w:color w:val="auto"/>
        </w:rPr>
      </w:pPr>
      <w:r w:rsidRPr="00B41CB7">
        <w:rPr>
          <w:color w:val="auto"/>
        </w:rPr>
        <w:t xml:space="preserve">Electronic copies should be searchable PDF documents saved to a USB flash drive. </w:t>
      </w:r>
      <w:r w:rsidRPr="000800F0">
        <w:rPr>
          <w:color w:val="auto"/>
        </w:rPr>
        <w:t>Please do not submit a scanned version of the entire proposal response.</w:t>
      </w:r>
    </w:p>
    <w:p w14:paraId="4A0888A8" w14:textId="77777777" w:rsidR="002C381A" w:rsidRPr="00B41CB7" w:rsidRDefault="002C381A" w:rsidP="00161351">
      <w:pPr>
        <w:ind w:left="1080"/>
        <w:rPr>
          <w:sz w:val="20"/>
          <w:szCs w:val="20"/>
        </w:rPr>
      </w:pPr>
    </w:p>
    <w:p w14:paraId="446F66EE" w14:textId="77777777" w:rsidR="00161351" w:rsidRDefault="00161351" w:rsidP="006D4383">
      <w:pPr>
        <w:ind w:left="720"/>
        <w:jc w:val="both"/>
        <w:rPr>
          <w:sz w:val="20"/>
          <w:szCs w:val="20"/>
        </w:rPr>
      </w:pPr>
      <w:r w:rsidRPr="00B41CB7">
        <w:rPr>
          <w:sz w:val="20"/>
          <w:szCs w:val="20"/>
        </w:rPr>
        <w:t>Vendors bear the risk of delays in delivery.</w:t>
      </w:r>
      <w:r w:rsidR="002F5648">
        <w:rPr>
          <w:sz w:val="20"/>
          <w:szCs w:val="20"/>
        </w:rPr>
        <w:t xml:space="preserve"> Compliance in meeting the delivery deadline </w:t>
      </w:r>
      <w:proofErr w:type="gramStart"/>
      <w:r w:rsidR="002F5648">
        <w:rPr>
          <w:sz w:val="20"/>
          <w:szCs w:val="20"/>
        </w:rPr>
        <w:t>is solely based</w:t>
      </w:r>
      <w:proofErr w:type="gramEnd"/>
      <w:r w:rsidR="002F5648">
        <w:rPr>
          <w:sz w:val="20"/>
          <w:szCs w:val="20"/>
        </w:rPr>
        <w:t xml:space="preserve"> on when proposals are received at the State’s location: 820 Silver Lake Boulevard, Suite 100, Dover, DE  19904. Vendors </w:t>
      </w:r>
      <w:proofErr w:type="gramStart"/>
      <w:r w:rsidR="002F5648">
        <w:rPr>
          <w:sz w:val="20"/>
          <w:szCs w:val="20"/>
        </w:rPr>
        <w:t>should, however, make</w:t>
      </w:r>
      <w:proofErr w:type="gramEnd"/>
      <w:r w:rsidR="002F5648">
        <w:rPr>
          <w:sz w:val="20"/>
          <w:szCs w:val="20"/>
        </w:rPr>
        <w:t xml:space="preserve"> every effort to get proposals to the Consultant by the same deadline.</w:t>
      </w:r>
    </w:p>
    <w:p w14:paraId="00CC8065" w14:textId="77777777" w:rsidR="00E626DB" w:rsidRDefault="00E626DB" w:rsidP="006D4383">
      <w:pPr>
        <w:ind w:left="720"/>
        <w:jc w:val="both"/>
        <w:rPr>
          <w:sz w:val="20"/>
          <w:szCs w:val="20"/>
        </w:rPr>
      </w:pPr>
    </w:p>
    <w:p w14:paraId="4066648E" w14:textId="5A30DC08" w:rsidR="00E626DB" w:rsidRPr="000800F0" w:rsidRDefault="00C13240" w:rsidP="000800F0">
      <w:pPr>
        <w:ind w:left="720"/>
        <w:jc w:val="both"/>
        <w:rPr>
          <w:sz w:val="20"/>
          <w:szCs w:val="20"/>
          <w:u w:val="single"/>
        </w:rPr>
      </w:pPr>
      <w:r w:rsidRPr="00227823">
        <w:rPr>
          <w:b/>
          <w:sz w:val="20"/>
          <w:szCs w:val="20"/>
          <w:u w:val="single"/>
        </w:rPr>
        <w:t xml:space="preserve">Special </w:t>
      </w:r>
      <w:r w:rsidR="004E12E5" w:rsidRPr="00227823">
        <w:rPr>
          <w:b/>
          <w:sz w:val="20"/>
          <w:szCs w:val="20"/>
          <w:u w:val="single"/>
        </w:rPr>
        <w:t xml:space="preserve">Note for </w:t>
      </w:r>
      <w:r w:rsidR="00E626DB" w:rsidRPr="00227823">
        <w:rPr>
          <w:b/>
          <w:sz w:val="20"/>
          <w:szCs w:val="20"/>
          <w:u w:val="single"/>
        </w:rPr>
        <w:t>Submission</w:t>
      </w:r>
      <w:r w:rsidR="004E12E5" w:rsidRPr="00227823">
        <w:rPr>
          <w:b/>
          <w:sz w:val="20"/>
          <w:szCs w:val="20"/>
          <w:u w:val="single"/>
        </w:rPr>
        <w:t>s</w:t>
      </w:r>
      <w:r w:rsidR="00E626DB" w:rsidRPr="00227823">
        <w:rPr>
          <w:b/>
          <w:sz w:val="20"/>
          <w:szCs w:val="20"/>
          <w:u w:val="single"/>
        </w:rPr>
        <w:t xml:space="preserve"> </w:t>
      </w:r>
      <w:r w:rsidR="004E12E5" w:rsidRPr="00227823">
        <w:rPr>
          <w:b/>
          <w:sz w:val="20"/>
          <w:szCs w:val="20"/>
          <w:u w:val="single"/>
        </w:rPr>
        <w:t xml:space="preserve">with </w:t>
      </w:r>
      <w:r w:rsidR="00E626DB" w:rsidRPr="00227823">
        <w:rPr>
          <w:b/>
          <w:sz w:val="20"/>
          <w:szCs w:val="20"/>
          <w:u w:val="single"/>
        </w:rPr>
        <w:t>Confidential Information</w:t>
      </w:r>
      <w:r w:rsidR="000800F0" w:rsidRPr="00227823">
        <w:rPr>
          <w:b/>
          <w:sz w:val="20"/>
          <w:szCs w:val="20"/>
          <w:u w:val="single"/>
        </w:rPr>
        <w:t>:</w:t>
      </w:r>
    </w:p>
    <w:p w14:paraId="46F78BB8" w14:textId="572C4A86" w:rsidR="00E626DB" w:rsidRPr="00E626DB" w:rsidRDefault="00E626DB">
      <w:pPr>
        <w:ind w:left="720"/>
        <w:jc w:val="both"/>
        <w:rPr>
          <w:sz w:val="20"/>
          <w:szCs w:val="20"/>
        </w:rPr>
      </w:pPr>
      <w:r w:rsidRPr="000800F0">
        <w:rPr>
          <w:sz w:val="20"/>
          <w:szCs w:val="20"/>
        </w:rPr>
        <w:t xml:space="preserve">If </w:t>
      </w:r>
      <w:r w:rsidR="004E12E5">
        <w:rPr>
          <w:sz w:val="20"/>
          <w:szCs w:val="20"/>
        </w:rPr>
        <w:t>a</w:t>
      </w:r>
      <w:r w:rsidR="004E12E5" w:rsidRPr="000800F0">
        <w:rPr>
          <w:sz w:val="20"/>
          <w:szCs w:val="20"/>
        </w:rPr>
        <w:t xml:space="preserve"> </w:t>
      </w:r>
      <w:r w:rsidRPr="000800F0">
        <w:rPr>
          <w:sz w:val="20"/>
          <w:szCs w:val="20"/>
        </w:rPr>
        <w:t xml:space="preserve">Vendor </w:t>
      </w:r>
      <w:r w:rsidR="004E12E5">
        <w:rPr>
          <w:sz w:val="20"/>
          <w:szCs w:val="20"/>
        </w:rPr>
        <w:t>believes</w:t>
      </w:r>
      <w:r w:rsidR="004E12E5" w:rsidRPr="000800F0">
        <w:rPr>
          <w:sz w:val="20"/>
          <w:szCs w:val="20"/>
        </w:rPr>
        <w:t xml:space="preserve"> </w:t>
      </w:r>
      <w:r w:rsidRPr="000800F0">
        <w:rPr>
          <w:sz w:val="20"/>
          <w:szCs w:val="20"/>
        </w:rPr>
        <w:t xml:space="preserve">any </w:t>
      </w:r>
      <w:r w:rsidR="004E12E5">
        <w:rPr>
          <w:sz w:val="20"/>
          <w:szCs w:val="20"/>
        </w:rPr>
        <w:t xml:space="preserve">document </w:t>
      </w:r>
      <w:r w:rsidRPr="000800F0">
        <w:rPr>
          <w:sz w:val="20"/>
          <w:szCs w:val="20"/>
        </w:rPr>
        <w:t xml:space="preserve">submitted </w:t>
      </w:r>
      <w:r w:rsidR="004E12E5">
        <w:rPr>
          <w:sz w:val="20"/>
          <w:szCs w:val="20"/>
        </w:rPr>
        <w:t xml:space="preserve">in a proposal </w:t>
      </w:r>
      <w:r w:rsidR="00C13240">
        <w:rPr>
          <w:sz w:val="20"/>
          <w:szCs w:val="20"/>
        </w:rPr>
        <w:t xml:space="preserve">contains </w:t>
      </w:r>
      <w:r w:rsidR="004E12E5">
        <w:rPr>
          <w:sz w:val="20"/>
          <w:szCs w:val="20"/>
        </w:rPr>
        <w:t>c</w:t>
      </w:r>
      <w:r w:rsidR="004E12E5" w:rsidRPr="000800F0">
        <w:rPr>
          <w:sz w:val="20"/>
          <w:szCs w:val="20"/>
        </w:rPr>
        <w:t>onfidential</w:t>
      </w:r>
      <w:r w:rsidR="00C13240">
        <w:rPr>
          <w:sz w:val="20"/>
          <w:szCs w:val="20"/>
        </w:rPr>
        <w:t xml:space="preserve"> business information (as described below)</w:t>
      </w:r>
      <w:r w:rsidRPr="000800F0">
        <w:rPr>
          <w:sz w:val="20"/>
          <w:szCs w:val="20"/>
        </w:rPr>
        <w:t xml:space="preserve">, </w:t>
      </w:r>
      <w:r w:rsidR="004E12E5">
        <w:rPr>
          <w:sz w:val="20"/>
          <w:szCs w:val="20"/>
        </w:rPr>
        <w:t xml:space="preserve">the Vendor </w:t>
      </w:r>
      <w:r w:rsidR="004E12E5" w:rsidRPr="00227823">
        <w:rPr>
          <w:b/>
          <w:sz w:val="20"/>
          <w:szCs w:val="20"/>
        </w:rPr>
        <w:t>must</w:t>
      </w:r>
      <w:r w:rsidR="004E12E5">
        <w:rPr>
          <w:sz w:val="20"/>
          <w:szCs w:val="20"/>
        </w:rPr>
        <w:t xml:space="preserve"> submit </w:t>
      </w:r>
      <w:r w:rsidRPr="000800F0">
        <w:rPr>
          <w:sz w:val="20"/>
          <w:szCs w:val="20"/>
        </w:rPr>
        <w:t xml:space="preserve">a separate electronic copy of the full proposal response on a USB drive with all </w:t>
      </w:r>
      <w:r w:rsidR="004E12E5">
        <w:rPr>
          <w:sz w:val="20"/>
          <w:szCs w:val="20"/>
        </w:rPr>
        <w:t>such c</w:t>
      </w:r>
      <w:r w:rsidR="004E12E5" w:rsidRPr="000800F0">
        <w:rPr>
          <w:sz w:val="20"/>
          <w:szCs w:val="20"/>
        </w:rPr>
        <w:t xml:space="preserve">onfidential </w:t>
      </w:r>
      <w:r w:rsidR="00C13240">
        <w:rPr>
          <w:sz w:val="20"/>
          <w:szCs w:val="20"/>
        </w:rPr>
        <w:t xml:space="preserve">business </w:t>
      </w:r>
      <w:r w:rsidR="004E12E5">
        <w:rPr>
          <w:sz w:val="20"/>
          <w:szCs w:val="20"/>
        </w:rPr>
        <w:t>i</w:t>
      </w:r>
      <w:r w:rsidR="004E12E5" w:rsidRPr="000800F0">
        <w:rPr>
          <w:sz w:val="20"/>
          <w:szCs w:val="20"/>
        </w:rPr>
        <w:t xml:space="preserve">nformation </w:t>
      </w:r>
      <w:r w:rsidRPr="000800F0">
        <w:rPr>
          <w:sz w:val="20"/>
          <w:szCs w:val="20"/>
        </w:rPr>
        <w:t>redacted</w:t>
      </w:r>
      <w:r w:rsidR="00C13240">
        <w:rPr>
          <w:sz w:val="20"/>
          <w:szCs w:val="20"/>
        </w:rPr>
        <w:t xml:space="preserve">. </w:t>
      </w:r>
      <w:r w:rsidR="004E12E5">
        <w:rPr>
          <w:sz w:val="20"/>
          <w:szCs w:val="20"/>
        </w:rPr>
        <w:t>The redacted electronic copy</w:t>
      </w:r>
      <w:r w:rsidRPr="000800F0">
        <w:rPr>
          <w:sz w:val="20"/>
          <w:szCs w:val="20"/>
        </w:rPr>
        <w:t xml:space="preserve"> must be submitted in a </w:t>
      </w:r>
      <w:r w:rsidR="004E12E5">
        <w:rPr>
          <w:sz w:val="20"/>
          <w:szCs w:val="20"/>
        </w:rPr>
        <w:t xml:space="preserve">separate </w:t>
      </w:r>
      <w:r w:rsidRPr="000800F0">
        <w:rPr>
          <w:sz w:val="20"/>
          <w:szCs w:val="20"/>
        </w:rPr>
        <w:t>sealed envelope labeled “</w:t>
      </w:r>
      <w:r w:rsidR="006B020F" w:rsidRPr="000800F0">
        <w:rPr>
          <w:sz w:val="20"/>
          <w:szCs w:val="20"/>
        </w:rPr>
        <w:t>FOIA Copy</w:t>
      </w:r>
      <w:r w:rsidRPr="000800F0">
        <w:rPr>
          <w:sz w:val="20"/>
          <w:szCs w:val="20"/>
        </w:rPr>
        <w:t>”</w:t>
      </w:r>
      <w:r w:rsidR="00C13240">
        <w:rPr>
          <w:sz w:val="20"/>
          <w:szCs w:val="20"/>
        </w:rPr>
        <w:t xml:space="preserve"> and </w:t>
      </w:r>
      <w:r w:rsidRPr="00E626DB">
        <w:rPr>
          <w:sz w:val="20"/>
          <w:szCs w:val="20"/>
        </w:rPr>
        <w:t>be included with the original</w:t>
      </w:r>
      <w:r w:rsidR="006B020F">
        <w:rPr>
          <w:sz w:val="20"/>
          <w:szCs w:val="20"/>
        </w:rPr>
        <w:t xml:space="preserve"> proposal package</w:t>
      </w:r>
      <w:r w:rsidR="00C13240">
        <w:rPr>
          <w:sz w:val="20"/>
          <w:szCs w:val="20"/>
        </w:rPr>
        <w:t xml:space="preserve"> delivered to the Director of Debt and Cash Management.  </w:t>
      </w:r>
      <w:r w:rsidR="00083814">
        <w:rPr>
          <w:sz w:val="20"/>
          <w:szCs w:val="20"/>
        </w:rPr>
        <w:t xml:space="preserve">Additional instructions for FOIA Copies </w:t>
      </w:r>
      <w:proofErr w:type="gramStart"/>
      <w:r w:rsidR="00083814">
        <w:rPr>
          <w:sz w:val="20"/>
          <w:szCs w:val="20"/>
        </w:rPr>
        <w:t>are provided</w:t>
      </w:r>
      <w:proofErr w:type="gramEnd"/>
      <w:r w:rsidR="00083814">
        <w:rPr>
          <w:sz w:val="20"/>
          <w:szCs w:val="20"/>
        </w:rPr>
        <w:t xml:space="preserve"> below.</w:t>
      </w:r>
    </w:p>
    <w:p w14:paraId="21B7FA39" w14:textId="77777777" w:rsidR="00F7465C" w:rsidRDefault="00F7465C" w:rsidP="00E626DB">
      <w:pPr>
        <w:ind w:left="720"/>
        <w:jc w:val="both"/>
        <w:rPr>
          <w:sz w:val="20"/>
          <w:szCs w:val="20"/>
        </w:rPr>
      </w:pPr>
    </w:p>
    <w:p w14:paraId="2A071129" w14:textId="6D083657" w:rsidR="00F7465C" w:rsidRPr="00B41CB7" w:rsidRDefault="00F7465C" w:rsidP="00F7465C">
      <w:pPr>
        <w:ind w:left="720"/>
        <w:jc w:val="both"/>
        <w:rPr>
          <w:sz w:val="20"/>
          <w:szCs w:val="20"/>
        </w:rPr>
      </w:pPr>
      <w:r w:rsidRPr="00B41CB7">
        <w:rPr>
          <w:sz w:val="20"/>
          <w:szCs w:val="20"/>
        </w:rPr>
        <w:t xml:space="preserve">There shall be no disclosure of any </w:t>
      </w:r>
      <w:r w:rsidR="007F694A">
        <w:rPr>
          <w:sz w:val="20"/>
          <w:szCs w:val="20"/>
        </w:rPr>
        <w:t>proposal</w:t>
      </w:r>
      <w:r w:rsidRPr="00B41CB7">
        <w:rPr>
          <w:sz w:val="20"/>
          <w:szCs w:val="20"/>
        </w:rPr>
        <w:t xml:space="preserve"> to a competing Vendor prior to </w:t>
      </w:r>
      <w:r w:rsidR="00C13240">
        <w:rPr>
          <w:sz w:val="20"/>
          <w:szCs w:val="20"/>
        </w:rPr>
        <w:t xml:space="preserve">the issuance of </w:t>
      </w:r>
      <w:r w:rsidRPr="00B41CB7">
        <w:rPr>
          <w:sz w:val="20"/>
          <w:szCs w:val="20"/>
        </w:rPr>
        <w:t>award</w:t>
      </w:r>
      <w:r w:rsidR="00C13240">
        <w:rPr>
          <w:sz w:val="20"/>
          <w:szCs w:val="20"/>
        </w:rPr>
        <w:t>s</w:t>
      </w:r>
      <w:r w:rsidRPr="00B41CB7">
        <w:rPr>
          <w:sz w:val="20"/>
          <w:szCs w:val="20"/>
        </w:rPr>
        <w:t xml:space="preserve"> unless such disclosure is required by law or by order of a court of competent jurisdiction.</w:t>
      </w:r>
    </w:p>
    <w:p w14:paraId="6C2A0B10" w14:textId="77777777" w:rsidR="00F7465C" w:rsidRPr="00B41CB7" w:rsidRDefault="00F7465C" w:rsidP="00F7465C">
      <w:pPr>
        <w:ind w:left="720"/>
        <w:jc w:val="both"/>
        <w:rPr>
          <w:sz w:val="20"/>
          <w:szCs w:val="20"/>
        </w:rPr>
      </w:pPr>
    </w:p>
    <w:p w14:paraId="23F7555B" w14:textId="5B3182BE" w:rsidR="00F7465C" w:rsidRPr="00B41CB7" w:rsidRDefault="00F7465C" w:rsidP="00F7465C">
      <w:pPr>
        <w:ind w:left="720"/>
        <w:jc w:val="both"/>
        <w:rPr>
          <w:sz w:val="20"/>
          <w:szCs w:val="20"/>
        </w:rPr>
      </w:pPr>
      <w:r w:rsidRPr="00B41CB7">
        <w:rPr>
          <w:sz w:val="20"/>
          <w:szCs w:val="20"/>
        </w:rPr>
        <w:t xml:space="preserve">The State and its constituent agencies, including OST, are required to comply with the State’s Freedom of Information Act, </w:t>
      </w:r>
      <w:hyperlink r:id="rId20" w:history="1">
        <w:r w:rsidRPr="00B41CB7">
          <w:rPr>
            <w:color w:val="0000FF"/>
            <w:sz w:val="20"/>
            <w:szCs w:val="20"/>
            <w:u w:val="single"/>
          </w:rPr>
          <w:t xml:space="preserve">29 </w:t>
        </w:r>
        <w:r w:rsidRPr="00B41CB7">
          <w:rPr>
            <w:i/>
            <w:color w:val="0000FF"/>
            <w:sz w:val="20"/>
            <w:szCs w:val="20"/>
            <w:u w:val="single"/>
          </w:rPr>
          <w:t>Del. C.</w:t>
        </w:r>
        <w:r w:rsidRPr="00B41CB7">
          <w:rPr>
            <w:color w:val="0000FF"/>
            <w:sz w:val="20"/>
            <w:szCs w:val="20"/>
            <w:u w:val="single"/>
          </w:rPr>
          <w:t xml:space="preserve"> § 10001, </w:t>
        </w:r>
        <w:r w:rsidRPr="00B41CB7">
          <w:rPr>
            <w:i/>
            <w:color w:val="0000FF"/>
            <w:sz w:val="20"/>
            <w:szCs w:val="20"/>
            <w:u w:val="single"/>
          </w:rPr>
          <w:t xml:space="preserve">et seq. </w:t>
        </w:r>
        <w:r w:rsidRPr="00B41CB7">
          <w:rPr>
            <w:color w:val="0000FF"/>
            <w:sz w:val="20"/>
            <w:szCs w:val="20"/>
            <w:u w:val="single"/>
          </w:rPr>
          <w:t xml:space="preserve"> (“FOIA”)</w:t>
        </w:r>
        <w:r w:rsidRPr="00B41CB7">
          <w:rPr>
            <w:color w:val="0000FF"/>
            <w:sz w:val="20"/>
            <w:szCs w:val="20"/>
          </w:rPr>
          <w:t xml:space="preserve">.  </w:t>
        </w:r>
      </w:hyperlink>
      <w:r w:rsidRPr="00A5017C">
        <w:rPr>
          <w:sz w:val="20"/>
          <w:szCs w:val="20"/>
        </w:rPr>
        <w:t xml:space="preserve">Under </w:t>
      </w:r>
      <w:r w:rsidRPr="00B41CB7">
        <w:rPr>
          <w:sz w:val="20"/>
          <w:szCs w:val="20"/>
        </w:rPr>
        <w:t xml:space="preserve">FOIA, the State’s records are public records (unless otherwise declared by FOIA or other law to be exempt from disclosure) and are subject to inspection and copying by any person upon a written request. Once a proposal </w:t>
      </w:r>
      <w:proofErr w:type="gramStart"/>
      <w:r w:rsidRPr="00B41CB7">
        <w:rPr>
          <w:sz w:val="20"/>
          <w:szCs w:val="20"/>
        </w:rPr>
        <w:t>is received</w:t>
      </w:r>
      <w:proofErr w:type="gramEnd"/>
      <w:r w:rsidRPr="00B41CB7">
        <w:rPr>
          <w:sz w:val="20"/>
          <w:szCs w:val="20"/>
        </w:rPr>
        <w:t xml:space="preserve"> by OST, the content of </w:t>
      </w:r>
      <w:r w:rsidR="00083814">
        <w:rPr>
          <w:sz w:val="20"/>
          <w:szCs w:val="20"/>
        </w:rPr>
        <w:t xml:space="preserve">the </w:t>
      </w:r>
      <w:r w:rsidRPr="00B41CB7">
        <w:rPr>
          <w:sz w:val="20"/>
          <w:szCs w:val="20"/>
        </w:rPr>
        <w:t>proposal</w:t>
      </w:r>
      <w:r w:rsidR="00083814">
        <w:rPr>
          <w:sz w:val="20"/>
          <w:szCs w:val="20"/>
        </w:rPr>
        <w:t xml:space="preserve"> is</w:t>
      </w:r>
      <w:r w:rsidRPr="00B41CB7">
        <w:rPr>
          <w:sz w:val="20"/>
          <w:szCs w:val="20"/>
        </w:rPr>
        <w:t xml:space="preserve"> subject to FOIA.  </w:t>
      </w:r>
    </w:p>
    <w:p w14:paraId="6292574D" w14:textId="77777777" w:rsidR="00F7465C" w:rsidRPr="00B41CB7" w:rsidRDefault="00F7465C" w:rsidP="00F7465C">
      <w:pPr>
        <w:ind w:left="720"/>
        <w:jc w:val="both"/>
        <w:rPr>
          <w:sz w:val="20"/>
          <w:szCs w:val="20"/>
        </w:rPr>
      </w:pPr>
    </w:p>
    <w:p w14:paraId="232C1D9C" w14:textId="07A4B437" w:rsidR="00F7465C" w:rsidRPr="00B41CB7" w:rsidRDefault="00F7465C" w:rsidP="00F7465C">
      <w:pPr>
        <w:ind w:left="720"/>
        <w:jc w:val="both"/>
        <w:rPr>
          <w:sz w:val="20"/>
          <w:szCs w:val="20"/>
        </w:rPr>
      </w:pPr>
      <w:r w:rsidRPr="00B41CB7">
        <w:rPr>
          <w:sz w:val="20"/>
          <w:szCs w:val="20"/>
        </w:rPr>
        <w:t xml:space="preserve">The State wishes to create a business-friendly environment and procurement process. As such, the State respects that Vendors desire to protect intellectual property, trade secrets, and </w:t>
      </w:r>
      <w:r w:rsidR="00083814">
        <w:rPr>
          <w:sz w:val="20"/>
          <w:szCs w:val="20"/>
        </w:rPr>
        <w:t xml:space="preserve">other </w:t>
      </w:r>
      <w:r w:rsidRPr="00B41CB7">
        <w:rPr>
          <w:sz w:val="20"/>
          <w:szCs w:val="20"/>
        </w:rPr>
        <w:t xml:space="preserve">confidential business information (collectively referred to herein as “confidential business information”). If a Vendor feels that it cannot submit a proposal without including confidential business information, it must adhere to the procedure set forth </w:t>
      </w:r>
      <w:r w:rsidRPr="002B5225">
        <w:rPr>
          <w:sz w:val="20"/>
          <w:szCs w:val="20"/>
        </w:rPr>
        <w:t xml:space="preserve">in </w:t>
      </w:r>
      <w:r w:rsidR="00C13240">
        <w:rPr>
          <w:sz w:val="20"/>
          <w:szCs w:val="20"/>
        </w:rPr>
        <w:t xml:space="preserve">this </w:t>
      </w:r>
      <w:r w:rsidRPr="002B5225">
        <w:rPr>
          <w:b/>
          <w:sz w:val="20"/>
          <w:szCs w:val="20"/>
        </w:rPr>
        <w:t xml:space="preserve">Section </w:t>
      </w:r>
      <w:r w:rsidR="002B5225" w:rsidRPr="002B5225">
        <w:rPr>
          <w:b/>
          <w:sz w:val="20"/>
          <w:szCs w:val="20"/>
        </w:rPr>
        <w:t>I</w:t>
      </w:r>
      <w:r w:rsidRPr="002B5225">
        <w:rPr>
          <w:b/>
          <w:sz w:val="20"/>
          <w:szCs w:val="20"/>
        </w:rPr>
        <w:t>V.B.3</w:t>
      </w:r>
      <w:r w:rsidRPr="002B5225">
        <w:rPr>
          <w:sz w:val="20"/>
          <w:szCs w:val="20"/>
        </w:rPr>
        <w:t>.</w:t>
      </w:r>
      <w:r w:rsidRPr="00B41CB7">
        <w:rPr>
          <w:sz w:val="20"/>
          <w:szCs w:val="20"/>
        </w:rPr>
        <w:t xml:space="preserve"> Failure to comply with the</w:t>
      </w:r>
      <w:r w:rsidR="00083814">
        <w:rPr>
          <w:sz w:val="20"/>
          <w:szCs w:val="20"/>
        </w:rPr>
        <w:t>se</w:t>
      </w:r>
      <w:r w:rsidRPr="00B41CB7">
        <w:rPr>
          <w:sz w:val="20"/>
          <w:szCs w:val="20"/>
        </w:rPr>
        <w:t xml:space="preserve"> procedure</w:t>
      </w:r>
      <w:r w:rsidR="00083814">
        <w:rPr>
          <w:sz w:val="20"/>
          <w:szCs w:val="20"/>
        </w:rPr>
        <w:t>s</w:t>
      </w:r>
      <w:r w:rsidRPr="00B41CB7">
        <w:rPr>
          <w:sz w:val="20"/>
          <w:szCs w:val="20"/>
        </w:rPr>
        <w:t xml:space="preserve"> may result in a submission </w:t>
      </w:r>
      <w:proofErr w:type="gramStart"/>
      <w:r w:rsidRPr="00B41CB7">
        <w:rPr>
          <w:sz w:val="20"/>
          <w:szCs w:val="20"/>
        </w:rPr>
        <w:t>being rejected</w:t>
      </w:r>
      <w:proofErr w:type="gramEnd"/>
      <w:r w:rsidRPr="00B41CB7">
        <w:rPr>
          <w:sz w:val="20"/>
          <w:szCs w:val="20"/>
        </w:rPr>
        <w:t xml:space="preserve"> as non-conforming or non-responsive, and any applicable protection for the Vendor’s confidential business information may be lost.  </w:t>
      </w:r>
    </w:p>
    <w:p w14:paraId="6E78AE14" w14:textId="77777777" w:rsidR="00F7465C" w:rsidRPr="00B41CB7" w:rsidRDefault="00F7465C" w:rsidP="00F7465C">
      <w:pPr>
        <w:ind w:left="720"/>
        <w:jc w:val="both"/>
        <w:rPr>
          <w:sz w:val="20"/>
          <w:szCs w:val="20"/>
        </w:rPr>
      </w:pPr>
    </w:p>
    <w:p w14:paraId="70FECB2A" w14:textId="72C94730" w:rsidR="00F7465C" w:rsidRPr="00B41CB7" w:rsidRDefault="00F7465C">
      <w:pPr>
        <w:ind w:left="720"/>
        <w:jc w:val="both"/>
        <w:rPr>
          <w:sz w:val="20"/>
          <w:szCs w:val="20"/>
        </w:rPr>
      </w:pPr>
      <w:r w:rsidRPr="00B41CB7">
        <w:rPr>
          <w:sz w:val="20"/>
          <w:szCs w:val="20"/>
        </w:rPr>
        <w:t xml:space="preserve">In order to allow the State to protect confidential business information, Vendors </w:t>
      </w:r>
      <w:proofErr w:type="gramStart"/>
      <w:r w:rsidRPr="00B41CB7">
        <w:rPr>
          <w:sz w:val="20"/>
          <w:szCs w:val="20"/>
        </w:rPr>
        <w:t>will be permitted</w:t>
      </w:r>
      <w:proofErr w:type="gramEnd"/>
      <w:r w:rsidRPr="00B41CB7">
        <w:rPr>
          <w:sz w:val="20"/>
          <w:szCs w:val="20"/>
        </w:rPr>
        <w:t xml:space="preserve"> to designate appropriate portions of their proposal as confidential.</w:t>
      </w:r>
      <w:r w:rsidR="00083814">
        <w:rPr>
          <w:sz w:val="20"/>
          <w:szCs w:val="20"/>
        </w:rPr>
        <w:t xml:space="preserve"> Vendors may do so </w:t>
      </w:r>
      <w:r w:rsidR="00C15073">
        <w:rPr>
          <w:sz w:val="20"/>
          <w:szCs w:val="20"/>
        </w:rPr>
        <w:t xml:space="preserve">only by (a) </w:t>
      </w:r>
      <w:r w:rsidR="00083814">
        <w:rPr>
          <w:sz w:val="20"/>
          <w:szCs w:val="20"/>
        </w:rPr>
        <w:t>submitting a FOIA Copy</w:t>
      </w:r>
      <w:r w:rsidR="00C15073">
        <w:rPr>
          <w:sz w:val="20"/>
          <w:szCs w:val="20"/>
        </w:rPr>
        <w:t xml:space="preserve"> as provided above, (b) filling out Attachment 3 and (c) providing with the FOIA Copy and Attachment 3 </w:t>
      </w:r>
      <w:r w:rsidR="00083814">
        <w:rPr>
          <w:sz w:val="20"/>
          <w:szCs w:val="20"/>
        </w:rPr>
        <w:t>a</w:t>
      </w:r>
      <w:r w:rsidRPr="0045646F">
        <w:rPr>
          <w:sz w:val="20"/>
          <w:szCs w:val="20"/>
        </w:rPr>
        <w:t xml:space="preserve"> letter from the submitting Vendor’s legal counsel </w:t>
      </w:r>
      <w:r w:rsidR="003A72F0">
        <w:rPr>
          <w:sz w:val="20"/>
          <w:szCs w:val="20"/>
        </w:rPr>
        <w:t xml:space="preserve">that </w:t>
      </w:r>
      <w:r w:rsidR="00C15073">
        <w:rPr>
          <w:sz w:val="20"/>
          <w:szCs w:val="20"/>
        </w:rPr>
        <w:t>(</w:t>
      </w:r>
      <w:proofErr w:type="spellStart"/>
      <w:r w:rsidR="00C15073">
        <w:rPr>
          <w:sz w:val="20"/>
          <w:szCs w:val="20"/>
        </w:rPr>
        <w:t>i</w:t>
      </w:r>
      <w:proofErr w:type="spellEnd"/>
      <w:r w:rsidR="00C15073">
        <w:rPr>
          <w:sz w:val="20"/>
          <w:szCs w:val="20"/>
        </w:rPr>
        <w:t xml:space="preserve">) adequately </w:t>
      </w:r>
      <w:r w:rsidR="003A72F0" w:rsidRPr="0045646F">
        <w:rPr>
          <w:sz w:val="20"/>
          <w:szCs w:val="20"/>
        </w:rPr>
        <w:t>describ</w:t>
      </w:r>
      <w:r w:rsidR="003A72F0">
        <w:rPr>
          <w:sz w:val="20"/>
          <w:szCs w:val="20"/>
        </w:rPr>
        <w:t>es</w:t>
      </w:r>
      <w:r w:rsidR="003A72F0" w:rsidRPr="0045646F">
        <w:rPr>
          <w:sz w:val="20"/>
          <w:szCs w:val="20"/>
        </w:rPr>
        <w:t xml:space="preserve"> </w:t>
      </w:r>
      <w:r w:rsidRPr="0045646F">
        <w:rPr>
          <w:sz w:val="20"/>
          <w:szCs w:val="20"/>
        </w:rPr>
        <w:t xml:space="preserve">the </w:t>
      </w:r>
      <w:r w:rsidR="00083814">
        <w:rPr>
          <w:sz w:val="20"/>
          <w:szCs w:val="20"/>
        </w:rPr>
        <w:t>redactions</w:t>
      </w:r>
      <w:r w:rsidR="003A72F0">
        <w:rPr>
          <w:sz w:val="20"/>
          <w:szCs w:val="20"/>
        </w:rPr>
        <w:t xml:space="preserve"> and</w:t>
      </w:r>
      <w:r w:rsidRPr="0045646F">
        <w:rPr>
          <w:sz w:val="20"/>
          <w:szCs w:val="20"/>
        </w:rPr>
        <w:t xml:space="preserve"> </w:t>
      </w:r>
      <w:r w:rsidR="00C15073">
        <w:rPr>
          <w:sz w:val="20"/>
          <w:szCs w:val="20"/>
        </w:rPr>
        <w:t xml:space="preserve">(ii) </w:t>
      </w:r>
      <w:r w:rsidR="003A72F0">
        <w:rPr>
          <w:sz w:val="20"/>
          <w:szCs w:val="20"/>
        </w:rPr>
        <w:t xml:space="preserve">includes a </w:t>
      </w:r>
      <w:r w:rsidR="003A72F0" w:rsidRPr="0045646F">
        <w:rPr>
          <w:sz w:val="20"/>
          <w:szCs w:val="20"/>
        </w:rPr>
        <w:t>represent</w:t>
      </w:r>
      <w:r w:rsidR="003A72F0">
        <w:rPr>
          <w:sz w:val="20"/>
          <w:szCs w:val="20"/>
        </w:rPr>
        <w:t>ation</w:t>
      </w:r>
      <w:r w:rsidR="003A72F0" w:rsidRPr="0045646F">
        <w:rPr>
          <w:sz w:val="20"/>
          <w:szCs w:val="20"/>
        </w:rPr>
        <w:t xml:space="preserve"> </w:t>
      </w:r>
      <w:r w:rsidRPr="0045646F">
        <w:rPr>
          <w:sz w:val="20"/>
          <w:szCs w:val="20"/>
        </w:rPr>
        <w:t xml:space="preserve">that the </w:t>
      </w:r>
      <w:r w:rsidR="00083814">
        <w:rPr>
          <w:sz w:val="20"/>
          <w:szCs w:val="20"/>
        </w:rPr>
        <w:t xml:space="preserve">redacted </w:t>
      </w:r>
      <w:r w:rsidRPr="0045646F">
        <w:rPr>
          <w:sz w:val="20"/>
          <w:szCs w:val="20"/>
        </w:rPr>
        <w:t xml:space="preserve">information </w:t>
      </w:r>
      <w:proofErr w:type="gramStart"/>
      <w:r w:rsidR="003A72F0">
        <w:rPr>
          <w:sz w:val="20"/>
          <w:szCs w:val="20"/>
        </w:rPr>
        <w:t>is protected</w:t>
      </w:r>
      <w:proofErr w:type="gramEnd"/>
      <w:r w:rsidR="003A72F0">
        <w:rPr>
          <w:sz w:val="20"/>
          <w:szCs w:val="20"/>
        </w:rPr>
        <w:t xml:space="preserve"> from disclosure</w:t>
      </w:r>
      <w:r w:rsidRPr="0045646F">
        <w:rPr>
          <w:sz w:val="20"/>
          <w:szCs w:val="20"/>
        </w:rPr>
        <w:t xml:space="preserve"> </w:t>
      </w:r>
      <w:r w:rsidR="003A72F0">
        <w:rPr>
          <w:sz w:val="20"/>
          <w:szCs w:val="20"/>
        </w:rPr>
        <w:t>under FOIA</w:t>
      </w:r>
      <w:r w:rsidRPr="0045646F">
        <w:rPr>
          <w:sz w:val="20"/>
          <w:szCs w:val="20"/>
        </w:rPr>
        <w:t>.</w:t>
      </w:r>
    </w:p>
    <w:p w14:paraId="79C50643" w14:textId="77777777" w:rsidR="00F7465C" w:rsidRPr="00B41CB7" w:rsidRDefault="00F7465C" w:rsidP="00F7465C">
      <w:pPr>
        <w:ind w:left="720"/>
        <w:jc w:val="both"/>
        <w:rPr>
          <w:sz w:val="20"/>
          <w:szCs w:val="20"/>
        </w:rPr>
      </w:pPr>
    </w:p>
    <w:p w14:paraId="168E29DC" w14:textId="4B19C642" w:rsidR="00F7465C" w:rsidRPr="00B41CB7" w:rsidRDefault="00F7465C" w:rsidP="00F7465C">
      <w:pPr>
        <w:ind w:left="720"/>
        <w:jc w:val="both"/>
        <w:rPr>
          <w:sz w:val="20"/>
          <w:szCs w:val="20"/>
        </w:rPr>
      </w:pPr>
      <w:r w:rsidRPr="00B41CB7">
        <w:rPr>
          <w:sz w:val="20"/>
          <w:szCs w:val="20"/>
        </w:rPr>
        <w:t xml:space="preserve">Upon receipt of a proposal </w:t>
      </w:r>
      <w:r w:rsidR="003A72F0">
        <w:rPr>
          <w:sz w:val="20"/>
          <w:szCs w:val="20"/>
        </w:rPr>
        <w:t>that includes a FOIA Copy</w:t>
      </w:r>
      <w:r w:rsidRPr="00B41CB7">
        <w:rPr>
          <w:sz w:val="20"/>
          <w:szCs w:val="20"/>
        </w:rPr>
        <w:t>, the Designated Contacts will open the envelope to determine whether the procedure</w:t>
      </w:r>
      <w:r w:rsidR="00C15073">
        <w:rPr>
          <w:sz w:val="20"/>
          <w:szCs w:val="20"/>
        </w:rPr>
        <w:t>s</w:t>
      </w:r>
      <w:r w:rsidRPr="00B41CB7">
        <w:rPr>
          <w:sz w:val="20"/>
          <w:szCs w:val="20"/>
        </w:rPr>
        <w:t xml:space="preserve"> described above </w:t>
      </w:r>
      <w:proofErr w:type="gramStart"/>
      <w:r w:rsidR="00C15073" w:rsidRPr="00B41CB7">
        <w:rPr>
          <w:sz w:val="20"/>
          <w:szCs w:val="20"/>
        </w:rPr>
        <w:t>ha</w:t>
      </w:r>
      <w:r w:rsidR="00C15073">
        <w:rPr>
          <w:sz w:val="20"/>
          <w:szCs w:val="20"/>
        </w:rPr>
        <w:t>ve</w:t>
      </w:r>
      <w:r w:rsidR="00C15073" w:rsidRPr="00B41CB7">
        <w:rPr>
          <w:sz w:val="20"/>
          <w:szCs w:val="20"/>
        </w:rPr>
        <w:t xml:space="preserve"> </w:t>
      </w:r>
      <w:r w:rsidRPr="00B41CB7">
        <w:rPr>
          <w:sz w:val="20"/>
          <w:szCs w:val="20"/>
        </w:rPr>
        <w:t>been followed</w:t>
      </w:r>
      <w:proofErr w:type="gramEnd"/>
      <w:r w:rsidRPr="00B41CB7">
        <w:rPr>
          <w:sz w:val="20"/>
          <w:szCs w:val="20"/>
        </w:rPr>
        <w:t>. A Vendor’s allegation as to its confidential business information shall not be binding on OST. OST shall independently determine the validity of any Vendor designation as set forth in this section. Any Vendor submitting a proposal or using the procedures discussed herein expressly accepts OST’s absolute right and duty to independently assess the legal and factual validity of any information designated as confidential business information. Accordingly, Vendors assume the risk that confidential business information included within a proposal may enter the public domain.</w:t>
      </w:r>
    </w:p>
    <w:p w14:paraId="66E89797" w14:textId="77777777" w:rsidR="00161351" w:rsidRPr="00B41CB7" w:rsidRDefault="00161351" w:rsidP="0041397F">
      <w:pPr>
        <w:pStyle w:val="Heading3"/>
      </w:pPr>
      <w:r w:rsidRPr="00B41CB7">
        <w:t>Proposal Modifications</w:t>
      </w:r>
    </w:p>
    <w:p w14:paraId="040C5E51" w14:textId="36D7A479" w:rsidR="00161351" w:rsidRPr="00B41CB7" w:rsidRDefault="00161351" w:rsidP="006D4383">
      <w:pPr>
        <w:ind w:left="720"/>
        <w:jc w:val="both"/>
        <w:rPr>
          <w:sz w:val="20"/>
          <w:szCs w:val="20"/>
        </w:rPr>
      </w:pPr>
      <w:r w:rsidRPr="00B41CB7">
        <w:rPr>
          <w:sz w:val="20"/>
          <w:szCs w:val="20"/>
        </w:rPr>
        <w:t xml:space="preserve">Any changes, amendments or modifications to a proposal </w:t>
      </w:r>
      <w:proofErr w:type="gramStart"/>
      <w:r w:rsidRPr="00B41CB7">
        <w:rPr>
          <w:sz w:val="20"/>
          <w:szCs w:val="20"/>
        </w:rPr>
        <w:t>must be made in writing, submitted in the same manner as the original proposal and conspicuously labeled as a change, amendment or modification to a previously submitted proposal</w:t>
      </w:r>
      <w:proofErr w:type="gramEnd"/>
      <w:r w:rsidRPr="00B41CB7">
        <w:rPr>
          <w:sz w:val="20"/>
          <w:szCs w:val="20"/>
        </w:rPr>
        <w:t xml:space="preserve">. Except as expressly permitted </w:t>
      </w:r>
      <w:r w:rsidR="00FE75DC">
        <w:rPr>
          <w:sz w:val="20"/>
          <w:szCs w:val="20"/>
        </w:rPr>
        <w:t>herein</w:t>
      </w:r>
      <w:r w:rsidRPr="00B41CB7">
        <w:rPr>
          <w:sz w:val="20"/>
          <w:szCs w:val="20"/>
        </w:rPr>
        <w:t xml:space="preserve">, changes, amendments or modifications to proposals </w:t>
      </w:r>
      <w:proofErr w:type="gramStart"/>
      <w:r w:rsidRPr="00B41CB7">
        <w:rPr>
          <w:sz w:val="20"/>
          <w:szCs w:val="20"/>
        </w:rPr>
        <w:t>shall not be permitted, accepted or considered after the hour and date specified as the deadline for submission of proposals</w:t>
      </w:r>
      <w:proofErr w:type="gramEnd"/>
      <w:r w:rsidRPr="00B41CB7">
        <w:rPr>
          <w:sz w:val="20"/>
          <w:szCs w:val="20"/>
        </w:rPr>
        <w:t>.</w:t>
      </w:r>
    </w:p>
    <w:p w14:paraId="698AF076" w14:textId="77777777" w:rsidR="00161351" w:rsidRPr="00B41CB7" w:rsidRDefault="00161351" w:rsidP="0041397F">
      <w:pPr>
        <w:pStyle w:val="Heading3"/>
      </w:pPr>
      <w:r w:rsidRPr="00B41CB7">
        <w:t>Proposal Costs and Expenses</w:t>
      </w:r>
    </w:p>
    <w:p w14:paraId="1237D110" w14:textId="09CD8F46" w:rsidR="00161351" w:rsidRPr="00B41CB7" w:rsidRDefault="00FE75DC" w:rsidP="006D4383">
      <w:pPr>
        <w:ind w:left="720"/>
        <w:jc w:val="both"/>
        <w:rPr>
          <w:sz w:val="20"/>
          <w:szCs w:val="20"/>
        </w:rPr>
      </w:pPr>
      <w:r>
        <w:rPr>
          <w:sz w:val="20"/>
          <w:szCs w:val="20"/>
        </w:rPr>
        <w:t>T</w:t>
      </w:r>
      <w:r w:rsidR="00161351" w:rsidRPr="00B41CB7">
        <w:rPr>
          <w:sz w:val="20"/>
          <w:szCs w:val="20"/>
        </w:rPr>
        <w:t>he State will not pay or be responsible for any costs incurred by any Vendor associated with any aspect of responding to this RFP, including proposal preparation, printing or delivery, presentation, system demonstrations or negotiation process.</w:t>
      </w:r>
    </w:p>
    <w:p w14:paraId="025BFF66" w14:textId="77777777" w:rsidR="00161351" w:rsidRPr="00B41CB7" w:rsidRDefault="00161351" w:rsidP="0041397F">
      <w:pPr>
        <w:pStyle w:val="Heading3"/>
      </w:pPr>
      <w:r w:rsidRPr="00B41CB7">
        <w:t>Proposal Expiration Date</w:t>
      </w:r>
    </w:p>
    <w:p w14:paraId="1E61A274" w14:textId="2DFE37B0" w:rsidR="00161351" w:rsidRPr="00B41CB7" w:rsidRDefault="00161351" w:rsidP="006D4383">
      <w:pPr>
        <w:ind w:left="720"/>
        <w:jc w:val="both"/>
        <w:rPr>
          <w:sz w:val="20"/>
          <w:szCs w:val="20"/>
        </w:rPr>
      </w:pPr>
      <w:r w:rsidRPr="00B41CB7">
        <w:rPr>
          <w:sz w:val="20"/>
          <w:szCs w:val="20"/>
        </w:rPr>
        <w:t xml:space="preserve">Prices quoted in </w:t>
      </w:r>
      <w:r w:rsidR="00FE75DC">
        <w:rPr>
          <w:sz w:val="20"/>
          <w:szCs w:val="20"/>
        </w:rPr>
        <w:t>a</w:t>
      </w:r>
      <w:r w:rsidR="00FE75DC" w:rsidRPr="00B41CB7">
        <w:rPr>
          <w:sz w:val="20"/>
          <w:szCs w:val="20"/>
        </w:rPr>
        <w:t xml:space="preserve"> </w:t>
      </w:r>
      <w:r w:rsidRPr="00B41CB7">
        <w:rPr>
          <w:sz w:val="20"/>
          <w:szCs w:val="20"/>
        </w:rPr>
        <w:t>proposal to this RFP shall remain fixed and binding on the Vendor for no less than twelve (12) months from the proposal submission deadline. OST and the Vendor may agree to an extension of this deadline.</w:t>
      </w:r>
    </w:p>
    <w:p w14:paraId="22A2110A" w14:textId="77777777" w:rsidR="00161351" w:rsidRPr="00B41CB7" w:rsidRDefault="00161351" w:rsidP="0041397F">
      <w:pPr>
        <w:pStyle w:val="Heading3"/>
      </w:pPr>
      <w:r w:rsidRPr="00B41CB7">
        <w:t>Late Proposals</w:t>
      </w:r>
    </w:p>
    <w:p w14:paraId="3E746F65" w14:textId="77777777" w:rsidR="00161351" w:rsidRPr="00B41CB7" w:rsidRDefault="00161351" w:rsidP="006D4383">
      <w:pPr>
        <w:ind w:left="720"/>
        <w:jc w:val="both"/>
        <w:rPr>
          <w:sz w:val="20"/>
          <w:szCs w:val="20"/>
        </w:rPr>
      </w:pPr>
      <w:r w:rsidRPr="00B41CB7">
        <w:rPr>
          <w:sz w:val="20"/>
          <w:szCs w:val="20"/>
        </w:rPr>
        <w:t xml:space="preserve">Proposals received after the specified date and time will not be accepted or considered. Late proposals </w:t>
      </w:r>
      <w:proofErr w:type="gramStart"/>
      <w:r w:rsidRPr="00B41CB7">
        <w:rPr>
          <w:sz w:val="20"/>
          <w:szCs w:val="20"/>
        </w:rPr>
        <w:t>will be destroyed or returned to Vendor at Vendor’s request and at Vendor’s cost</w:t>
      </w:r>
      <w:proofErr w:type="gramEnd"/>
      <w:r w:rsidRPr="00B41CB7">
        <w:rPr>
          <w:sz w:val="20"/>
          <w:szCs w:val="20"/>
        </w:rPr>
        <w:t>. To document compliance with the deadline, each proposal will be date- and time-stamped upon receipt.  The determination of whether a submission is timely shall reside with OST.</w:t>
      </w:r>
    </w:p>
    <w:p w14:paraId="13E24977" w14:textId="77777777" w:rsidR="00161351" w:rsidRPr="00B41CB7" w:rsidRDefault="00161351" w:rsidP="0041397F">
      <w:pPr>
        <w:pStyle w:val="Heading3"/>
      </w:pPr>
      <w:r w:rsidRPr="00B41CB7">
        <w:t>Proposal Opening</w:t>
      </w:r>
    </w:p>
    <w:p w14:paraId="6B29108D" w14:textId="77777777" w:rsidR="00161351" w:rsidRPr="00B41CB7" w:rsidRDefault="00161351" w:rsidP="006D4383">
      <w:pPr>
        <w:ind w:left="720"/>
        <w:jc w:val="both"/>
        <w:rPr>
          <w:sz w:val="20"/>
          <w:szCs w:val="20"/>
        </w:rPr>
      </w:pPr>
      <w:r w:rsidRPr="00B41CB7">
        <w:rPr>
          <w:sz w:val="20"/>
          <w:szCs w:val="20"/>
        </w:rPr>
        <w:t xml:space="preserve">The Designated Contacts will open proposal packages in the presence of OST witnesses, and will establish a list of all Vendors submitting proposals. There will be no public opening of proposals. </w:t>
      </w:r>
    </w:p>
    <w:p w14:paraId="216CE583" w14:textId="77777777" w:rsidR="00161351" w:rsidRPr="00B41CB7" w:rsidRDefault="00161351" w:rsidP="0041397F">
      <w:pPr>
        <w:pStyle w:val="Heading3"/>
      </w:pPr>
      <w:r w:rsidRPr="00B41CB7">
        <w:t>Non-Conforming Proposals</w:t>
      </w:r>
    </w:p>
    <w:p w14:paraId="69ADA8D5" w14:textId="77777777" w:rsidR="00161351" w:rsidRPr="00B41CB7" w:rsidRDefault="00161351" w:rsidP="006D4383">
      <w:pPr>
        <w:ind w:left="720"/>
        <w:jc w:val="both"/>
        <w:rPr>
          <w:sz w:val="20"/>
          <w:szCs w:val="20"/>
        </w:rPr>
      </w:pPr>
      <w:r w:rsidRPr="00B41CB7">
        <w:rPr>
          <w:sz w:val="20"/>
          <w:szCs w:val="20"/>
        </w:rPr>
        <w:t xml:space="preserve">Non-conforming proposals </w:t>
      </w:r>
      <w:proofErr w:type="gramStart"/>
      <w:r w:rsidRPr="00B41CB7">
        <w:rPr>
          <w:sz w:val="20"/>
          <w:szCs w:val="20"/>
        </w:rPr>
        <w:t>will not be considered</w:t>
      </w:r>
      <w:proofErr w:type="gramEnd"/>
      <w:r w:rsidRPr="00B41CB7">
        <w:rPr>
          <w:sz w:val="20"/>
          <w:szCs w:val="20"/>
        </w:rPr>
        <w:t xml:space="preserve">. Non-conforming proposals </w:t>
      </w:r>
      <w:proofErr w:type="gramStart"/>
      <w:r w:rsidRPr="00B41CB7">
        <w:rPr>
          <w:sz w:val="20"/>
          <w:szCs w:val="20"/>
        </w:rPr>
        <w:t>are defined</w:t>
      </w:r>
      <w:proofErr w:type="gramEnd"/>
      <w:r w:rsidRPr="00B41CB7">
        <w:rPr>
          <w:sz w:val="20"/>
          <w:szCs w:val="20"/>
        </w:rPr>
        <w:t xml:space="preserve"> as those that do not meet the requirements of this RFP. The determination of whether a submission is non-conforming shall reside with OST.</w:t>
      </w:r>
    </w:p>
    <w:p w14:paraId="4632CFD7" w14:textId="77777777" w:rsidR="00161351" w:rsidRPr="00B41CB7" w:rsidRDefault="00161351" w:rsidP="0041397F">
      <w:pPr>
        <w:pStyle w:val="Heading3"/>
      </w:pPr>
      <w:r w:rsidRPr="00B41CB7">
        <w:t>Concise Proposals</w:t>
      </w:r>
    </w:p>
    <w:p w14:paraId="265C4A7E" w14:textId="77777777" w:rsidR="00161351" w:rsidRPr="00B41CB7" w:rsidRDefault="00161351" w:rsidP="006D4383">
      <w:pPr>
        <w:ind w:left="720"/>
        <w:jc w:val="both"/>
        <w:rPr>
          <w:sz w:val="20"/>
          <w:szCs w:val="20"/>
        </w:rPr>
      </w:pPr>
      <w:r w:rsidRPr="00B41CB7">
        <w:rPr>
          <w:sz w:val="20"/>
          <w:szCs w:val="20"/>
        </w:rPr>
        <w:t xml:space="preserve">OST discourages overly lengthy and costly proposals and prefers that proposals be prepared in a straightforward and concise manner. Unnecessarily elaborate brochures or other promotional materials beyond those sufficient to present a complete and effective proposal </w:t>
      </w:r>
      <w:proofErr w:type="gramStart"/>
      <w:r w:rsidRPr="00B41CB7">
        <w:rPr>
          <w:sz w:val="20"/>
          <w:szCs w:val="20"/>
        </w:rPr>
        <w:t>are not desired</w:t>
      </w:r>
      <w:proofErr w:type="gramEnd"/>
      <w:r w:rsidRPr="00B41CB7">
        <w:rPr>
          <w:sz w:val="20"/>
          <w:szCs w:val="20"/>
        </w:rPr>
        <w:t>. OST’s interest is in the quality and responsiveness of the proposal.</w:t>
      </w:r>
    </w:p>
    <w:p w14:paraId="3DA28004" w14:textId="77777777" w:rsidR="00161351" w:rsidRPr="00B41CB7" w:rsidRDefault="00161351" w:rsidP="0041397F">
      <w:pPr>
        <w:pStyle w:val="Heading3"/>
      </w:pPr>
      <w:r w:rsidRPr="00B41CB7">
        <w:t>Realistic Proposals</w:t>
      </w:r>
    </w:p>
    <w:p w14:paraId="1E15F4CB" w14:textId="77777777" w:rsidR="00161351" w:rsidRPr="00B41CB7" w:rsidRDefault="00161351" w:rsidP="006D4383">
      <w:pPr>
        <w:ind w:left="720"/>
        <w:jc w:val="both"/>
        <w:rPr>
          <w:sz w:val="20"/>
          <w:szCs w:val="20"/>
        </w:rPr>
      </w:pPr>
      <w:r w:rsidRPr="00B41CB7">
        <w:rPr>
          <w:sz w:val="20"/>
          <w:szCs w:val="20"/>
        </w:rPr>
        <w:t xml:space="preserve">Proposals must be realistic and must represent the best estimate of time, materials and other costs, including the impact of inflation and any economic or other factors that are reasonably predictable. OST expects that Vendors can fully satisfy the obligations of the proposal in the manner and timeframe defined within the proposal. The State shall bear no responsibility for a Vendor’s failure </w:t>
      </w:r>
      <w:proofErr w:type="gramStart"/>
      <w:r w:rsidRPr="00B41CB7">
        <w:rPr>
          <w:sz w:val="20"/>
          <w:szCs w:val="20"/>
        </w:rPr>
        <w:t>to accurately estimate</w:t>
      </w:r>
      <w:proofErr w:type="gramEnd"/>
      <w:r w:rsidRPr="00B41CB7">
        <w:rPr>
          <w:sz w:val="20"/>
          <w:szCs w:val="20"/>
        </w:rPr>
        <w:t xml:space="preserve"> the costs or resources required to meet the obligations defined in the proposal.</w:t>
      </w:r>
    </w:p>
    <w:p w14:paraId="4B5CD355" w14:textId="77777777" w:rsidR="00161351" w:rsidRPr="00B41CB7" w:rsidRDefault="00161351" w:rsidP="0041397F">
      <w:pPr>
        <w:pStyle w:val="Heading3"/>
      </w:pPr>
      <w:r w:rsidRPr="00B41CB7">
        <w:t>Price and Payments Not Confidential</w:t>
      </w:r>
    </w:p>
    <w:p w14:paraId="43243793" w14:textId="77777777" w:rsidR="00161351" w:rsidRPr="00B41CB7" w:rsidRDefault="00161351" w:rsidP="006D4383">
      <w:pPr>
        <w:ind w:left="720"/>
        <w:jc w:val="both"/>
        <w:rPr>
          <w:sz w:val="20"/>
          <w:szCs w:val="20"/>
        </w:rPr>
      </w:pPr>
      <w:r w:rsidRPr="00B41CB7">
        <w:rPr>
          <w:sz w:val="20"/>
          <w:szCs w:val="20"/>
        </w:rPr>
        <w:t xml:space="preserve">Vendors </w:t>
      </w:r>
      <w:proofErr w:type="gramStart"/>
      <w:r w:rsidRPr="00B41CB7">
        <w:rPr>
          <w:sz w:val="20"/>
          <w:szCs w:val="20"/>
        </w:rPr>
        <w:t>are advised</w:t>
      </w:r>
      <w:proofErr w:type="gramEnd"/>
      <w:r w:rsidRPr="00B41CB7">
        <w:rPr>
          <w:sz w:val="20"/>
          <w:szCs w:val="20"/>
        </w:rPr>
        <w:t xml:space="preserve"> that the pricing </w:t>
      </w:r>
      <w:r w:rsidR="00FE75DC">
        <w:rPr>
          <w:sz w:val="20"/>
          <w:szCs w:val="20"/>
        </w:rPr>
        <w:t xml:space="preserve">and other standard </w:t>
      </w:r>
      <w:r w:rsidRPr="00B41CB7">
        <w:rPr>
          <w:sz w:val="20"/>
          <w:szCs w:val="20"/>
        </w:rPr>
        <w:t xml:space="preserve">terms of any </w:t>
      </w:r>
      <w:r w:rsidR="00290509">
        <w:rPr>
          <w:sz w:val="20"/>
          <w:szCs w:val="20"/>
        </w:rPr>
        <w:t>contract</w:t>
      </w:r>
      <w:r w:rsidRPr="00B41CB7">
        <w:rPr>
          <w:sz w:val="20"/>
          <w:szCs w:val="20"/>
        </w:rPr>
        <w:t xml:space="preserve"> awarded to a successful Vendor, as well as any payments made to such Vendor, shall be matters of public record subject to disclosure under FOIA.</w:t>
      </w:r>
    </w:p>
    <w:p w14:paraId="5F74D81E" w14:textId="77777777" w:rsidR="00161351" w:rsidRPr="00B41CB7" w:rsidRDefault="00161351" w:rsidP="0041397F">
      <w:pPr>
        <w:pStyle w:val="Heading3"/>
      </w:pPr>
      <w:r w:rsidRPr="00B41CB7">
        <w:t>No Joint Ventures</w:t>
      </w:r>
    </w:p>
    <w:p w14:paraId="2093EF4F" w14:textId="77777777" w:rsidR="00161351" w:rsidRPr="00B41CB7" w:rsidRDefault="00161351" w:rsidP="006D4383">
      <w:pPr>
        <w:ind w:left="720"/>
        <w:jc w:val="both"/>
        <w:rPr>
          <w:sz w:val="20"/>
          <w:szCs w:val="20"/>
          <w:highlight w:val="yellow"/>
        </w:rPr>
      </w:pPr>
      <w:r w:rsidRPr="00B41CB7">
        <w:rPr>
          <w:sz w:val="20"/>
          <w:szCs w:val="20"/>
        </w:rPr>
        <w:t xml:space="preserve">Multi-Vendor proposals (joint ventures) </w:t>
      </w:r>
      <w:proofErr w:type="gramStart"/>
      <w:r w:rsidRPr="00B41CB7">
        <w:rPr>
          <w:sz w:val="20"/>
          <w:szCs w:val="20"/>
        </w:rPr>
        <w:t>will not be considered</w:t>
      </w:r>
      <w:proofErr w:type="gramEnd"/>
      <w:r w:rsidRPr="00B41CB7">
        <w:rPr>
          <w:sz w:val="20"/>
          <w:szCs w:val="20"/>
        </w:rPr>
        <w:t>.</w:t>
      </w:r>
    </w:p>
    <w:p w14:paraId="66507F91" w14:textId="77777777" w:rsidR="00161351" w:rsidRPr="00B41CB7" w:rsidRDefault="00161351" w:rsidP="0041397F">
      <w:pPr>
        <w:pStyle w:val="Heading3"/>
      </w:pPr>
      <w:r w:rsidRPr="00B41CB7">
        <w:t>RFP Question and Answer Process</w:t>
      </w:r>
    </w:p>
    <w:p w14:paraId="393ABDA9" w14:textId="77777777" w:rsidR="00161351" w:rsidRPr="00B41CB7" w:rsidRDefault="00161351" w:rsidP="006D4383">
      <w:pPr>
        <w:ind w:left="720"/>
        <w:jc w:val="both"/>
        <w:rPr>
          <w:sz w:val="20"/>
          <w:szCs w:val="20"/>
        </w:rPr>
      </w:pPr>
      <w:r w:rsidRPr="00B41CB7">
        <w:rPr>
          <w:sz w:val="20"/>
          <w:szCs w:val="20"/>
        </w:rPr>
        <w:t>Vendors are fully responsible for the completeness and accuracy of their proposals, and for examining this RFP and all attachments and addenda. Failure to do so will be at the sole risk of the Vendor. Should a Vendor find discrepancies, omissions, or unclear or ambiguous requirements or language, Vendor shall contact the Designated Contacts via email and provide a written request for clarification no later than the deadline for submission of Vendor questions. Vendor questions must refer to the specific page, section, paragraph and text of the RFP or attachments, as appropriate. The Vendor will submit questions solely to the Designated Contacts.</w:t>
      </w:r>
    </w:p>
    <w:p w14:paraId="1D8ACA06" w14:textId="77777777" w:rsidR="00161351" w:rsidRPr="00B41CB7" w:rsidRDefault="00161351" w:rsidP="006D4383">
      <w:pPr>
        <w:ind w:left="720"/>
        <w:jc w:val="both"/>
        <w:rPr>
          <w:sz w:val="20"/>
          <w:szCs w:val="20"/>
        </w:rPr>
      </w:pPr>
    </w:p>
    <w:p w14:paraId="7075028C" w14:textId="77777777" w:rsidR="00161351" w:rsidRPr="00B41CB7" w:rsidRDefault="00161351" w:rsidP="006D4383">
      <w:pPr>
        <w:ind w:left="720"/>
        <w:jc w:val="both"/>
        <w:rPr>
          <w:sz w:val="20"/>
          <w:szCs w:val="20"/>
        </w:rPr>
      </w:pPr>
      <w:r w:rsidRPr="00B41CB7">
        <w:rPr>
          <w:sz w:val="20"/>
          <w:szCs w:val="20"/>
        </w:rPr>
        <w:t xml:space="preserve">Questions and answers </w:t>
      </w:r>
      <w:proofErr w:type="gramStart"/>
      <w:r w:rsidRPr="00B41CB7">
        <w:rPr>
          <w:sz w:val="20"/>
          <w:szCs w:val="20"/>
        </w:rPr>
        <w:t>will be compiled</w:t>
      </w:r>
      <w:proofErr w:type="gramEnd"/>
      <w:r w:rsidRPr="00B41CB7">
        <w:rPr>
          <w:sz w:val="20"/>
          <w:szCs w:val="20"/>
        </w:rPr>
        <w:t xml:space="preserve"> into a comprehensive document with Vendor names removed, which will be placed on the same websites as the original RFP prior to the close of the question and answer period.  All issues that remain unresolved after the close of the question and answer period </w:t>
      </w:r>
      <w:proofErr w:type="gramStart"/>
      <w:r w:rsidRPr="00B41CB7">
        <w:rPr>
          <w:sz w:val="20"/>
          <w:szCs w:val="20"/>
        </w:rPr>
        <w:t>should be addressed</w:t>
      </w:r>
      <w:proofErr w:type="gramEnd"/>
      <w:r w:rsidRPr="00B41CB7">
        <w:rPr>
          <w:sz w:val="20"/>
          <w:szCs w:val="20"/>
        </w:rPr>
        <w:t xml:space="preserve"> in the proposal, with exceptions taken as appropriate.</w:t>
      </w:r>
    </w:p>
    <w:p w14:paraId="53EFA1CE" w14:textId="77777777" w:rsidR="00161351" w:rsidRPr="00B41CB7" w:rsidRDefault="00161351" w:rsidP="006D4383">
      <w:pPr>
        <w:ind w:left="720"/>
        <w:jc w:val="both"/>
        <w:rPr>
          <w:sz w:val="20"/>
          <w:szCs w:val="20"/>
        </w:rPr>
      </w:pPr>
    </w:p>
    <w:p w14:paraId="2B1F39DF" w14:textId="77777777" w:rsidR="00161351" w:rsidRPr="00B41CB7" w:rsidRDefault="00161351" w:rsidP="006D4383">
      <w:pPr>
        <w:ind w:left="720"/>
        <w:jc w:val="both"/>
        <w:rPr>
          <w:sz w:val="20"/>
          <w:szCs w:val="20"/>
        </w:rPr>
      </w:pPr>
      <w:r w:rsidRPr="00B41CB7">
        <w:rPr>
          <w:sz w:val="20"/>
          <w:szCs w:val="20"/>
        </w:rPr>
        <w:t>Protests based on any discrepancy, omission, or unclear or ambiguous requirements or language</w:t>
      </w:r>
      <w:r w:rsidRPr="00B41CB7" w:rsidDel="008525C3">
        <w:rPr>
          <w:sz w:val="20"/>
          <w:szCs w:val="20"/>
        </w:rPr>
        <w:t xml:space="preserve"> </w:t>
      </w:r>
      <w:proofErr w:type="gramStart"/>
      <w:r w:rsidRPr="00B41CB7">
        <w:rPr>
          <w:sz w:val="20"/>
          <w:szCs w:val="20"/>
        </w:rPr>
        <w:t>will be deemed</w:t>
      </w:r>
      <w:proofErr w:type="gramEnd"/>
      <w:r w:rsidRPr="00B41CB7">
        <w:rPr>
          <w:sz w:val="20"/>
          <w:szCs w:val="20"/>
        </w:rPr>
        <w:t xml:space="preserve"> waived and disallowed unless timely brought to the attention of the Designated Contacts as provided above.</w:t>
      </w:r>
    </w:p>
    <w:p w14:paraId="67FBF846" w14:textId="77777777" w:rsidR="00161351" w:rsidRPr="00234B36" w:rsidRDefault="00161351" w:rsidP="0041397F">
      <w:pPr>
        <w:pStyle w:val="Heading3"/>
      </w:pPr>
      <w:r w:rsidRPr="00234B36">
        <w:t xml:space="preserve">Exceptions to the RFP </w:t>
      </w:r>
    </w:p>
    <w:p w14:paraId="48709495" w14:textId="77777777" w:rsidR="00161351" w:rsidRPr="006C6B43" w:rsidRDefault="00161351" w:rsidP="006D4383">
      <w:pPr>
        <w:ind w:left="720"/>
        <w:jc w:val="both"/>
        <w:rPr>
          <w:sz w:val="20"/>
          <w:szCs w:val="20"/>
        </w:rPr>
      </w:pPr>
      <w:r w:rsidRPr="00234B36">
        <w:rPr>
          <w:sz w:val="20"/>
          <w:szCs w:val="20"/>
        </w:rPr>
        <w:t>Any exceptions to the RFP</w:t>
      </w:r>
      <w:r w:rsidR="00234B36">
        <w:rPr>
          <w:sz w:val="20"/>
          <w:szCs w:val="20"/>
        </w:rPr>
        <w:t xml:space="preserve"> </w:t>
      </w:r>
      <w:r w:rsidRPr="00234B36">
        <w:rPr>
          <w:sz w:val="20"/>
          <w:szCs w:val="20"/>
        </w:rPr>
        <w:t xml:space="preserve">or any other attachments or addenda, along with corresponding explanations and alternatives, </w:t>
      </w:r>
      <w:proofErr w:type="gramStart"/>
      <w:r w:rsidRPr="00234B36">
        <w:rPr>
          <w:sz w:val="20"/>
          <w:szCs w:val="20"/>
        </w:rPr>
        <w:t xml:space="preserve">must be noted and explained on </w:t>
      </w:r>
      <w:r w:rsidRPr="00234B36">
        <w:rPr>
          <w:b/>
          <w:sz w:val="20"/>
          <w:szCs w:val="20"/>
        </w:rPr>
        <w:t>Attachment</w:t>
      </w:r>
      <w:r w:rsidR="004C1F13" w:rsidRPr="00234B36">
        <w:rPr>
          <w:b/>
          <w:sz w:val="20"/>
          <w:szCs w:val="20"/>
        </w:rPr>
        <w:t xml:space="preserve"> </w:t>
      </w:r>
      <w:r w:rsidR="00286BD7" w:rsidRPr="00234B36">
        <w:rPr>
          <w:b/>
          <w:sz w:val="20"/>
          <w:szCs w:val="20"/>
        </w:rPr>
        <w:t>5</w:t>
      </w:r>
      <w:r w:rsidR="00A5017C" w:rsidRPr="00234B36">
        <w:rPr>
          <w:sz w:val="20"/>
          <w:szCs w:val="20"/>
        </w:rPr>
        <w:t xml:space="preserve"> </w:t>
      </w:r>
      <w:r w:rsidRPr="00234B36">
        <w:rPr>
          <w:sz w:val="20"/>
          <w:szCs w:val="20"/>
        </w:rPr>
        <w:t>and submitted when and as required herein</w:t>
      </w:r>
      <w:proofErr w:type="gramEnd"/>
      <w:r w:rsidRPr="00234B36">
        <w:rPr>
          <w:sz w:val="20"/>
          <w:szCs w:val="20"/>
        </w:rPr>
        <w:t xml:space="preserve">. Vendors that fail to </w:t>
      </w:r>
      <w:proofErr w:type="gramStart"/>
      <w:r w:rsidRPr="00234B36">
        <w:rPr>
          <w:sz w:val="20"/>
          <w:szCs w:val="20"/>
        </w:rPr>
        <w:t>timely and otherwise adequately preserve</w:t>
      </w:r>
      <w:proofErr w:type="gramEnd"/>
      <w:r w:rsidRPr="00234B36">
        <w:rPr>
          <w:sz w:val="20"/>
          <w:szCs w:val="20"/>
        </w:rPr>
        <w:t xml:space="preserve"> and assert exceptions shall be deemed to have waived all such exceptions and related arguments. </w:t>
      </w:r>
      <w:r w:rsidR="006C6B43">
        <w:rPr>
          <w:sz w:val="20"/>
          <w:szCs w:val="20"/>
        </w:rPr>
        <w:t xml:space="preserve">The State </w:t>
      </w:r>
      <w:r w:rsidRPr="00234B36">
        <w:rPr>
          <w:sz w:val="20"/>
          <w:szCs w:val="20"/>
        </w:rPr>
        <w:t>has discretion with respect to the acceptance or reje</w:t>
      </w:r>
      <w:r w:rsidRPr="006C6B43">
        <w:rPr>
          <w:sz w:val="20"/>
          <w:szCs w:val="20"/>
        </w:rPr>
        <w:t>ction of exceptions.</w:t>
      </w:r>
    </w:p>
    <w:p w14:paraId="2200FB56" w14:textId="77777777" w:rsidR="00290509" w:rsidRPr="006C6B43" w:rsidRDefault="00290509">
      <w:pPr>
        <w:pStyle w:val="Heading3"/>
      </w:pPr>
      <w:r w:rsidRPr="006C6B43">
        <w:t>Exceptions to the STC</w:t>
      </w:r>
    </w:p>
    <w:p w14:paraId="1AB6D89A" w14:textId="2AC31ADF" w:rsidR="00290509" w:rsidRPr="00B41CB7" w:rsidRDefault="00FE75DC" w:rsidP="00290509">
      <w:pPr>
        <w:ind w:left="720"/>
        <w:jc w:val="both"/>
        <w:rPr>
          <w:sz w:val="20"/>
          <w:szCs w:val="20"/>
        </w:rPr>
      </w:pPr>
      <w:r>
        <w:rPr>
          <w:sz w:val="20"/>
          <w:szCs w:val="20"/>
        </w:rPr>
        <w:t xml:space="preserve">The </w:t>
      </w:r>
      <w:r w:rsidRPr="006C6B43">
        <w:rPr>
          <w:sz w:val="20"/>
          <w:szCs w:val="20"/>
        </w:rPr>
        <w:t xml:space="preserve">Standard Terms and Conditions for Professional Services </w:t>
      </w:r>
      <w:r w:rsidR="007F694A">
        <w:rPr>
          <w:sz w:val="20"/>
          <w:szCs w:val="20"/>
        </w:rPr>
        <w:t xml:space="preserve">and its exhibits, all of which are attached hereto as Appendix D (collectively, the “STCs”), will govern the contractual relationship between a Vendor and the State.  </w:t>
      </w:r>
      <w:r w:rsidR="00290509" w:rsidRPr="006C6B43">
        <w:rPr>
          <w:sz w:val="20"/>
          <w:szCs w:val="20"/>
        </w:rPr>
        <w:t xml:space="preserve">Any exceptions to the STCs, along with corresponding explanations and alternatives, </w:t>
      </w:r>
      <w:proofErr w:type="gramStart"/>
      <w:r w:rsidR="00290509" w:rsidRPr="006C6B43">
        <w:rPr>
          <w:sz w:val="20"/>
          <w:szCs w:val="20"/>
        </w:rPr>
        <w:t>m</w:t>
      </w:r>
      <w:r w:rsidR="00A526AF">
        <w:rPr>
          <w:sz w:val="20"/>
          <w:szCs w:val="20"/>
        </w:rPr>
        <w:t>ust be noted and explained i</w:t>
      </w:r>
      <w:r w:rsidR="00290509" w:rsidRPr="006C6B43">
        <w:rPr>
          <w:sz w:val="20"/>
          <w:szCs w:val="20"/>
        </w:rPr>
        <w:t xml:space="preserve">n </w:t>
      </w:r>
      <w:r w:rsidR="007F694A">
        <w:rPr>
          <w:sz w:val="20"/>
          <w:szCs w:val="20"/>
        </w:rPr>
        <w:t xml:space="preserve">a </w:t>
      </w:r>
      <w:r w:rsidR="006C6B43">
        <w:rPr>
          <w:sz w:val="20"/>
          <w:szCs w:val="20"/>
        </w:rPr>
        <w:t>redline</w:t>
      </w:r>
      <w:r w:rsidR="00A526AF">
        <w:rPr>
          <w:sz w:val="20"/>
          <w:szCs w:val="20"/>
        </w:rPr>
        <w:t>d</w:t>
      </w:r>
      <w:r w:rsidR="006C6B43">
        <w:rPr>
          <w:sz w:val="20"/>
          <w:szCs w:val="20"/>
        </w:rPr>
        <w:t xml:space="preserve"> version of </w:t>
      </w:r>
      <w:r w:rsidR="007F694A">
        <w:rPr>
          <w:sz w:val="20"/>
          <w:szCs w:val="20"/>
        </w:rPr>
        <w:t xml:space="preserve">the </w:t>
      </w:r>
      <w:r w:rsidR="006C6B43">
        <w:rPr>
          <w:sz w:val="20"/>
          <w:szCs w:val="20"/>
        </w:rPr>
        <w:t xml:space="preserve">STCs </w:t>
      </w:r>
      <w:r w:rsidR="00A526AF">
        <w:rPr>
          <w:sz w:val="20"/>
          <w:szCs w:val="20"/>
        </w:rPr>
        <w:t xml:space="preserve">(“Redline”) </w:t>
      </w:r>
      <w:r w:rsidR="00290509" w:rsidRPr="006C6B43">
        <w:rPr>
          <w:sz w:val="20"/>
          <w:szCs w:val="20"/>
        </w:rPr>
        <w:t>and submitted when and as required herein</w:t>
      </w:r>
      <w:proofErr w:type="gramEnd"/>
      <w:r w:rsidR="00290509" w:rsidRPr="006C6B43">
        <w:rPr>
          <w:sz w:val="20"/>
          <w:szCs w:val="20"/>
        </w:rPr>
        <w:t xml:space="preserve">. Vendors that fail to </w:t>
      </w:r>
      <w:proofErr w:type="gramStart"/>
      <w:r w:rsidR="00290509" w:rsidRPr="006C6B43">
        <w:rPr>
          <w:sz w:val="20"/>
          <w:szCs w:val="20"/>
        </w:rPr>
        <w:t>timely and otherwise adequately preserve</w:t>
      </w:r>
      <w:proofErr w:type="gramEnd"/>
      <w:r w:rsidR="00290509" w:rsidRPr="006C6B43">
        <w:rPr>
          <w:sz w:val="20"/>
          <w:szCs w:val="20"/>
        </w:rPr>
        <w:t xml:space="preserve"> and assert exceptions to the STCs shall be deemed to have waived all such exceptions and related arguments. </w:t>
      </w:r>
      <w:r w:rsidR="006C6B43">
        <w:rPr>
          <w:sz w:val="20"/>
          <w:szCs w:val="20"/>
        </w:rPr>
        <w:t xml:space="preserve">The State </w:t>
      </w:r>
      <w:r w:rsidR="00290509" w:rsidRPr="006C6B43">
        <w:rPr>
          <w:sz w:val="20"/>
          <w:szCs w:val="20"/>
        </w:rPr>
        <w:t>has discretion with respect to the acceptance or rejection of exceptions.</w:t>
      </w:r>
    </w:p>
    <w:p w14:paraId="73A054EC" w14:textId="77777777" w:rsidR="00161351" w:rsidRPr="00B36E61" w:rsidRDefault="00161351" w:rsidP="0041397F">
      <w:pPr>
        <w:pStyle w:val="Heading3"/>
      </w:pPr>
      <w:r w:rsidRPr="00B36E61">
        <w:t>Right to Reject Proposals</w:t>
      </w:r>
    </w:p>
    <w:p w14:paraId="68E6DECA" w14:textId="19EAB55B" w:rsidR="00161351" w:rsidRPr="00B41CB7" w:rsidRDefault="00161351" w:rsidP="00B36E61">
      <w:pPr>
        <w:ind w:left="720"/>
        <w:jc w:val="both"/>
        <w:rPr>
          <w:sz w:val="20"/>
          <w:szCs w:val="20"/>
        </w:rPr>
      </w:pPr>
      <w:proofErr w:type="gramStart"/>
      <w:r w:rsidRPr="00B41CB7">
        <w:rPr>
          <w:sz w:val="20"/>
          <w:szCs w:val="20"/>
        </w:rPr>
        <w:t>OST reserves the right to accept or reject any or all proposals, or any part of any proposal, and to waive defects, technicalities or specifications, whether in this RFP or a Vendor’s response, or to solicit new proposals on the same project or a modified project that may include portions of the originally proposed project</w:t>
      </w:r>
      <w:r w:rsidR="007F694A">
        <w:rPr>
          <w:sz w:val="20"/>
          <w:szCs w:val="20"/>
        </w:rPr>
        <w:t>, all</w:t>
      </w:r>
      <w:r w:rsidRPr="00B41CB7">
        <w:rPr>
          <w:sz w:val="20"/>
          <w:szCs w:val="20"/>
        </w:rPr>
        <w:t xml:space="preserve"> as OST may deem necessary or appropriate.</w:t>
      </w:r>
      <w:proofErr w:type="gramEnd"/>
    </w:p>
    <w:p w14:paraId="7BFDCB5D" w14:textId="77777777" w:rsidR="00161351" w:rsidRPr="00B41CB7" w:rsidRDefault="00161351" w:rsidP="0041397F">
      <w:pPr>
        <w:pStyle w:val="Heading3"/>
      </w:pPr>
      <w:r w:rsidRPr="00B41CB7">
        <w:t>Right to Discontinue Negotiations.</w:t>
      </w:r>
    </w:p>
    <w:p w14:paraId="526FA2C6" w14:textId="77777777" w:rsidR="00161351" w:rsidRPr="00B41CB7" w:rsidRDefault="00161351" w:rsidP="00B36E61">
      <w:pPr>
        <w:ind w:left="720"/>
        <w:jc w:val="both"/>
        <w:rPr>
          <w:sz w:val="20"/>
          <w:szCs w:val="20"/>
        </w:rPr>
      </w:pPr>
      <w:r w:rsidRPr="00B41CB7">
        <w:rPr>
          <w:sz w:val="20"/>
          <w:szCs w:val="20"/>
        </w:rPr>
        <w:t xml:space="preserve">A Vendor’s submission of a proposal in connection with this RFP may result in OST’s decision to engage such Vendor in negotiations to reach agreement on the terms of a binding </w:t>
      </w:r>
      <w:r w:rsidR="00290509">
        <w:rPr>
          <w:sz w:val="20"/>
          <w:szCs w:val="20"/>
        </w:rPr>
        <w:t>contract</w:t>
      </w:r>
      <w:r w:rsidRPr="00B41CB7">
        <w:rPr>
          <w:sz w:val="20"/>
          <w:szCs w:val="20"/>
        </w:rPr>
        <w:t xml:space="preserve">. The commencement of negotiations shall not constitute a commitment by OST to continue negotiations or execute a </w:t>
      </w:r>
      <w:r w:rsidR="00290509">
        <w:rPr>
          <w:sz w:val="20"/>
          <w:szCs w:val="20"/>
        </w:rPr>
        <w:t>contract</w:t>
      </w:r>
      <w:r w:rsidRPr="00B41CB7">
        <w:rPr>
          <w:sz w:val="20"/>
          <w:szCs w:val="20"/>
        </w:rPr>
        <w:t xml:space="preserve">.  </w:t>
      </w:r>
    </w:p>
    <w:p w14:paraId="1FC466AA" w14:textId="77777777" w:rsidR="00161351" w:rsidRPr="00B41CB7" w:rsidRDefault="00161351" w:rsidP="0041397F">
      <w:pPr>
        <w:pStyle w:val="Heading3"/>
      </w:pPr>
      <w:r w:rsidRPr="00B41CB7">
        <w:t>Notification of Withdrawal of Proposal</w:t>
      </w:r>
    </w:p>
    <w:p w14:paraId="4CA34E57" w14:textId="77777777" w:rsidR="00161351" w:rsidRPr="00B41CB7" w:rsidRDefault="00161351" w:rsidP="00B36E61">
      <w:pPr>
        <w:ind w:left="720"/>
        <w:jc w:val="both"/>
        <w:rPr>
          <w:sz w:val="20"/>
          <w:szCs w:val="20"/>
        </w:rPr>
      </w:pPr>
      <w:r w:rsidRPr="00B41CB7">
        <w:rPr>
          <w:sz w:val="20"/>
          <w:szCs w:val="20"/>
        </w:rPr>
        <w:t>Vendor may withdraw a timely proposal by written request to the Designated Contacts, provided that such request is received by the Designated Contacts prior to the proposal due date.</w:t>
      </w:r>
    </w:p>
    <w:p w14:paraId="30013D7E" w14:textId="77777777" w:rsidR="00161351" w:rsidRPr="00B41CB7" w:rsidRDefault="00161351" w:rsidP="0041397F">
      <w:pPr>
        <w:pStyle w:val="Heading3"/>
      </w:pPr>
      <w:r w:rsidRPr="00B41CB7">
        <w:t>Proposal Constitutes an Offer</w:t>
      </w:r>
    </w:p>
    <w:p w14:paraId="3AA0D51A" w14:textId="77777777" w:rsidR="00161351" w:rsidRPr="00B41CB7" w:rsidRDefault="00161351" w:rsidP="00B36E61">
      <w:pPr>
        <w:ind w:left="720"/>
        <w:jc w:val="both"/>
        <w:rPr>
          <w:sz w:val="20"/>
          <w:szCs w:val="20"/>
        </w:rPr>
      </w:pPr>
      <w:r w:rsidRPr="00B41CB7">
        <w:rPr>
          <w:sz w:val="20"/>
          <w:szCs w:val="20"/>
        </w:rPr>
        <w:t xml:space="preserve">All proposals received </w:t>
      </w:r>
      <w:proofErr w:type="gramStart"/>
      <w:r w:rsidRPr="00B41CB7">
        <w:rPr>
          <w:sz w:val="20"/>
          <w:szCs w:val="20"/>
        </w:rPr>
        <w:t>are considered</w:t>
      </w:r>
      <w:proofErr w:type="gramEnd"/>
      <w:r w:rsidRPr="00B41CB7">
        <w:rPr>
          <w:sz w:val="20"/>
          <w:szCs w:val="20"/>
        </w:rPr>
        <w:t xml:space="preserve"> firm offers and may not be withdrawn or modified except as expressly permitted herein. </w:t>
      </w:r>
    </w:p>
    <w:p w14:paraId="471C277A" w14:textId="77777777" w:rsidR="00161351" w:rsidRPr="00B41CB7" w:rsidRDefault="00161351" w:rsidP="0041397F">
      <w:pPr>
        <w:pStyle w:val="Heading3"/>
      </w:pPr>
      <w:r w:rsidRPr="00B41CB7">
        <w:t>Award</w:t>
      </w:r>
    </w:p>
    <w:p w14:paraId="1E2355C7" w14:textId="5C3C1D74" w:rsidR="000F305A" w:rsidRPr="000F305A" w:rsidRDefault="000F305A" w:rsidP="000F305A">
      <w:pPr>
        <w:ind w:left="720"/>
        <w:jc w:val="both"/>
        <w:rPr>
          <w:sz w:val="20"/>
          <w:szCs w:val="20"/>
        </w:rPr>
      </w:pPr>
      <w:r w:rsidRPr="000F305A">
        <w:rPr>
          <w:sz w:val="20"/>
          <w:szCs w:val="20"/>
        </w:rPr>
        <w:t>Pursuant to 29 Del. C. § 2716(a</w:t>
      </w:r>
      <w:proofErr w:type="gramStart"/>
      <w:r w:rsidRPr="000F305A">
        <w:rPr>
          <w:sz w:val="20"/>
          <w:szCs w:val="20"/>
        </w:rPr>
        <w:t>)(</w:t>
      </w:r>
      <w:proofErr w:type="gramEnd"/>
      <w:r w:rsidRPr="000F305A">
        <w:rPr>
          <w:sz w:val="20"/>
          <w:szCs w:val="20"/>
        </w:rPr>
        <w:t xml:space="preserve">2), the </w:t>
      </w:r>
      <w:r w:rsidR="007F694A">
        <w:rPr>
          <w:sz w:val="20"/>
          <w:szCs w:val="20"/>
        </w:rPr>
        <w:t>CMPB</w:t>
      </w:r>
      <w:r w:rsidR="007F694A" w:rsidRPr="000F305A">
        <w:rPr>
          <w:sz w:val="20"/>
          <w:szCs w:val="20"/>
        </w:rPr>
        <w:t xml:space="preserve"> </w:t>
      </w:r>
      <w:r w:rsidRPr="000F305A">
        <w:rPr>
          <w:sz w:val="20"/>
          <w:szCs w:val="20"/>
        </w:rPr>
        <w:t xml:space="preserve">has the statutory responsibility and duty to approve by majority vote the retention of financial institutions to provide </w:t>
      </w:r>
      <w:r w:rsidR="005B023F">
        <w:rPr>
          <w:sz w:val="20"/>
          <w:szCs w:val="20"/>
        </w:rPr>
        <w:t xml:space="preserve">the services </w:t>
      </w:r>
      <w:r w:rsidRPr="000F305A">
        <w:rPr>
          <w:sz w:val="20"/>
          <w:szCs w:val="20"/>
        </w:rPr>
        <w:t>within this RFP</w:t>
      </w:r>
      <w:r w:rsidR="005B023F">
        <w:rPr>
          <w:sz w:val="20"/>
          <w:szCs w:val="20"/>
        </w:rPr>
        <w:t xml:space="preserve">. </w:t>
      </w:r>
      <w:r w:rsidRPr="000F305A">
        <w:rPr>
          <w:sz w:val="20"/>
          <w:szCs w:val="20"/>
        </w:rPr>
        <w:t xml:space="preserve">No award or contract resulting from this RFP process shall be effective unless and until authorized or approved in accordance with this RFP and applicable law. </w:t>
      </w:r>
    </w:p>
    <w:p w14:paraId="4C9E80B2" w14:textId="77777777" w:rsidR="000F305A" w:rsidRPr="000F305A" w:rsidRDefault="000F305A" w:rsidP="000F305A">
      <w:pPr>
        <w:ind w:left="720"/>
        <w:jc w:val="both"/>
        <w:rPr>
          <w:sz w:val="20"/>
          <w:szCs w:val="20"/>
        </w:rPr>
      </w:pPr>
    </w:p>
    <w:p w14:paraId="77BBF87D" w14:textId="6C34794B" w:rsidR="000F305A" w:rsidRPr="000F305A" w:rsidRDefault="000F305A" w:rsidP="000F305A">
      <w:pPr>
        <w:ind w:left="720"/>
        <w:jc w:val="both"/>
        <w:rPr>
          <w:sz w:val="20"/>
          <w:szCs w:val="20"/>
        </w:rPr>
      </w:pPr>
      <w:r w:rsidRPr="000F305A">
        <w:rPr>
          <w:sz w:val="20"/>
          <w:szCs w:val="20"/>
        </w:rPr>
        <w:t xml:space="preserve">A contract award (“Award”) </w:t>
      </w:r>
      <w:proofErr w:type="gramStart"/>
      <w:r w:rsidRPr="000F305A">
        <w:rPr>
          <w:sz w:val="20"/>
          <w:szCs w:val="20"/>
        </w:rPr>
        <w:t xml:space="preserve">will be communicated to a successful Vendor and published only after (a) </w:t>
      </w:r>
      <w:r w:rsidR="007F694A">
        <w:rPr>
          <w:sz w:val="20"/>
          <w:szCs w:val="20"/>
        </w:rPr>
        <w:t>the CMPB</w:t>
      </w:r>
      <w:r w:rsidRPr="000F305A">
        <w:rPr>
          <w:sz w:val="20"/>
          <w:szCs w:val="20"/>
        </w:rPr>
        <w:t xml:space="preserve"> authorizes the issuance of an Award to the Vendor and (b) OST and the Vendor execute a formal contract on terms and conditions acceptable to OST </w:t>
      </w:r>
      <w:r w:rsidR="007F694A">
        <w:rPr>
          <w:sz w:val="20"/>
          <w:szCs w:val="20"/>
        </w:rPr>
        <w:t>and the CMPB</w:t>
      </w:r>
      <w:proofErr w:type="gramEnd"/>
      <w:r w:rsidRPr="000F305A">
        <w:rPr>
          <w:sz w:val="20"/>
          <w:szCs w:val="20"/>
        </w:rPr>
        <w:t>. No Vendor will acquire any legal or equitable rights or privileges until the occurrence of both events.</w:t>
      </w:r>
    </w:p>
    <w:p w14:paraId="0138CCB9" w14:textId="77777777" w:rsidR="00C47034" w:rsidRPr="001263D9" w:rsidRDefault="00C47034" w:rsidP="006A6092">
      <w:pPr>
        <w:pStyle w:val="PlainText"/>
        <w:rPr>
          <w:rFonts w:ascii="Arial" w:hAnsi="Arial" w:cs="Arial"/>
          <w:color w:val="000000" w:themeColor="text1"/>
          <w:sz w:val="24"/>
          <w:szCs w:val="24"/>
        </w:rPr>
      </w:pPr>
    </w:p>
    <w:p w14:paraId="7B128BAD" w14:textId="77777777" w:rsidR="00EF1A38" w:rsidRPr="00B41CB7" w:rsidRDefault="00B3138B" w:rsidP="006D4383">
      <w:pPr>
        <w:pStyle w:val="Heading1"/>
      </w:pPr>
      <w:r w:rsidRPr="00B41CB7">
        <w:t xml:space="preserve">Requirements and </w:t>
      </w:r>
      <w:r w:rsidR="00EF1A38" w:rsidRPr="00B41CB7">
        <w:t xml:space="preserve">Evaluation Criteria </w:t>
      </w:r>
    </w:p>
    <w:p w14:paraId="11856E14" w14:textId="77777777" w:rsidR="00B3138B" w:rsidRPr="00C45EF9" w:rsidRDefault="00B3138B" w:rsidP="00B57C4D">
      <w:pPr>
        <w:pStyle w:val="Heading2"/>
        <w:numPr>
          <w:ilvl w:val="1"/>
          <w:numId w:val="127"/>
        </w:numPr>
        <w:tabs>
          <w:tab w:val="clear" w:pos="2880"/>
        </w:tabs>
        <w:ind w:left="360"/>
      </w:pPr>
      <w:r w:rsidRPr="00C45EF9">
        <w:t>Required Information</w:t>
      </w:r>
    </w:p>
    <w:p w14:paraId="46DCA871" w14:textId="77777777" w:rsidR="00B3138B" w:rsidRPr="00B36E61" w:rsidRDefault="00B3138B" w:rsidP="00B3138B">
      <w:pPr>
        <w:tabs>
          <w:tab w:val="left" w:pos="720"/>
        </w:tabs>
        <w:ind w:left="720"/>
        <w:jc w:val="both"/>
        <w:rPr>
          <w:color w:val="000000" w:themeColor="text1"/>
          <w:sz w:val="20"/>
          <w:szCs w:val="20"/>
        </w:rPr>
      </w:pPr>
    </w:p>
    <w:p w14:paraId="1A36D337" w14:textId="77777777" w:rsidR="00B3138B" w:rsidRPr="00B41CB7" w:rsidRDefault="00B3138B" w:rsidP="001777FA">
      <w:pPr>
        <w:pStyle w:val="Style2"/>
        <w:numPr>
          <w:ilvl w:val="0"/>
          <w:numId w:val="16"/>
        </w:numPr>
        <w:ind w:left="1080"/>
      </w:pPr>
      <w:r w:rsidRPr="00B41CB7">
        <w:t>Vendor</w:t>
      </w:r>
      <w:r w:rsidR="00422463" w:rsidRPr="00B41CB7">
        <w:t>s</w:t>
      </w:r>
      <w:r w:rsidRPr="00B41CB7">
        <w:t xml:space="preserve"> shall provide the following information with </w:t>
      </w:r>
      <w:r w:rsidR="0059697F" w:rsidRPr="00B41CB7">
        <w:t>their</w:t>
      </w:r>
      <w:r w:rsidRPr="00B41CB7">
        <w:t xml:space="preserve"> propo</w:t>
      </w:r>
      <w:r w:rsidR="0059697F" w:rsidRPr="00B41CB7">
        <w:t>sal</w:t>
      </w:r>
      <w:r w:rsidR="00422463" w:rsidRPr="00B41CB7">
        <w:t>s</w:t>
      </w:r>
      <w:r w:rsidR="0059697F" w:rsidRPr="00B41CB7">
        <w:t xml:space="preserve"> in the order listed below. </w:t>
      </w:r>
      <w:r w:rsidRPr="00B41CB7">
        <w:t>Failure to respond to any request for information within this RFP may result in rejection of the proposal.</w:t>
      </w:r>
      <w:r w:rsidR="000C0949" w:rsidRPr="00B41CB7">
        <w:t xml:space="preserve"> The proposal </w:t>
      </w:r>
      <w:proofErr w:type="gramStart"/>
      <w:r w:rsidR="000C0949" w:rsidRPr="00B41CB7">
        <w:t>will be presented</w:t>
      </w:r>
      <w:proofErr w:type="gramEnd"/>
      <w:r w:rsidR="000C0949" w:rsidRPr="00B41CB7">
        <w:t xml:space="preserve"> in a 3-ring binder, with each completed attachment identified in its own tab.</w:t>
      </w:r>
    </w:p>
    <w:p w14:paraId="4451A87E" w14:textId="77777777" w:rsidR="00B3138B" w:rsidRPr="00B41CB7" w:rsidRDefault="00B3138B" w:rsidP="00B3138B">
      <w:pPr>
        <w:ind w:left="720"/>
        <w:jc w:val="both"/>
        <w:rPr>
          <w:b/>
          <w:color w:val="000000" w:themeColor="text1"/>
          <w:sz w:val="20"/>
          <w:szCs w:val="20"/>
        </w:rPr>
      </w:pPr>
    </w:p>
    <w:p w14:paraId="0BB9B681" w14:textId="77777777" w:rsidR="00092210" w:rsidRDefault="000C0949" w:rsidP="00EE2CAB">
      <w:pPr>
        <w:ind w:left="1080"/>
        <w:jc w:val="both"/>
        <w:rPr>
          <w:color w:val="000000" w:themeColor="text1"/>
          <w:sz w:val="20"/>
          <w:szCs w:val="20"/>
        </w:rPr>
      </w:pPr>
      <w:r w:rsidRPr="00B41CB7">
        <w:rPr>
          <w:color w:val="000000" w:themeColor="text1"/>
          <w:sz w:val="20"/>
          <w:szCs w:val="20"/>
        </w:rPr>
        <w:t xml:space="preserve">Tab </w:t>
      </w:r>
      <w:r w:rsidR="00B3138B" w:rsidRPr="00B41CB7">
        <w:rPr>
          <w:color w:val="000000" w:themeColor="text1"/>
          <w:sz w:val="20"/>
          <w:szCs w:val="20"/>
        </w:rPr>
        <w:t>A</w:t>
      </w:r>
      <w:r w:rsidRPr="00B41CB7">
        <w:rPr>
          <w:color w:val="000000" w:themeColor="text1"/>
          <w:sz w:val="20"/>
          <w:szCs w:val="20"/>
        </w:rPr>
        <w:t>:</w:t>
      </w:r>
      <w:r w:rsidR="00C22E00" w:rsidRPr="00B41CB7">
        <w:rPr>
          <w:color w:val="000000" w:themeColor="text1"/>
          <w:sz w:val="20"/>
          <w:szCs w:val="20"/>
        </w:rPr>
        <w:t xml:space="preserve">  </w:t>
      </w:r>
      <w:r w:rsidR="00B3138B" w:rsidRPr="00B41CB7">
        <w:rPr>
          <w:color w:val="000000" w:themeColor="text1"/>
          <w:sz w:val="20"/>
          <w:szCs w:val="20"/>
          <w:u w:val="single"/>
        </w:rPr>
        <w:t>Transmitt</w:t>
      </w:r>
      <w:r w:rsidRPr="00B41CB7">
        <w:rPr>
          <w:color w:val="000000" w:themeColor="text1"/>
          <w:sz w:val="20"/>
          <w:szCs w:val="20"/>
          <w:u w:val="single"/>
        </w:rPr>
        <w:t>al</w:t>
      </w:r>
      <w:r w:rsidR="00B3138B" w:rsidRPr="00B41CB7">
        <w:rPr>
          <w:color w:val="000000" w:themeColor="text1"/>
          <w:sz w:val="20"/>
          <w:szCs w:val="20"/>
          <w:u w:val="single"/>
        </w:rPr>
        <w:t xml:space="preserve"> Letter</w:t>
      </w:r>
      <w:r w:rsidR="00092210" w:rsidRPr="00B41CB7">
        <w:rPr>
          <w:color w:val="000000" w:themeColor="text1"/>
          <w:sz w:val="20"/>
          <w:szCs w:val="20"/>
          <w:u w:val="single"/>
        </w:rPr>
        <w:t>.</w:t>
      </w:r>
      <w:r w:rsidR="00092210" w:rsidRPr="00B41CB7">
        <w:rPr>
          <w:color w:val="000000" w:themeColor="text1"/>
          <w:sz w:val="20"/>
          <w:szCs w:val="20"/>
        </w:rPr>
        <w:t xml:space="preserve">  </w:t>
      </w:r>
    </w:p>
    <w:p w14:paraId="6E9B2656" w14:textId="77777777" w:rsidR="00EE2CAB" w:rsidRPr="00B41CB7" w:rsidRDefault="00EE2CAB" w:rsidP="00EE2CAB">
      <w:pPr>
        <w:ind w:left="1080"/>
        <w:jc w:val="both"/>
        <w:rPr>
          <w:color w:val="000000" w:themeColor="text1"/>
          <w:sz w:val="20"/>
          <w:szCs w:val="20"/>
        </w:rPr>
      </w:pPr>
    </w:p>
    <w:p w14:paraId="511AA947" w14:textId="77777777" w:rsidR="0045646F" w:rsidRPr="00B300DA"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w:t>
      </w:r>
      <w:r w:rsidR="006A4E12" w:rsidRPr="00B300DA">
        <w:rPr>
          <w:color w:val="000000" w:themeColor="text1"/>
          <w:sz w:val="20"/>
          <w:szCs w:val="20"/>
        </w:rPr>
        <w:t>B</w:t>
      </w:r>
      <w:r w:rsidRPr="00B300DA">
        <w:rPr>
          <w:color w:val="000000" w:themeColor="text1"/>
          <w:sz w:val="20"/>
          <w:szCs w:val="20"/>
        </w:rPr>
        <w:t>:</w:t>
      </w:r>
      <w:r w:rsidRPr="00B300DA">
        <w:rPr>
          <w:color w:val="000000" w:themeColor="text1"/>
          <w:sz w:val="20"/>
          <w:szCs w:val="20"/>
        </w:rPr>
        <w:tab/>
      </w:r>
      <w:r w:rsidRPr="00B300DA">
        <w:rPr>
          <w:color w:val="000000" w:themeColor="text1"/>
          <w:sz w:val="20"/>
          <w:szCs w:val="20"/>
          <w:u w:val="single"/>
        </w:rPr>
        <w:t>Questionnaire(s).</w:t>
      </w:r>
      <w:r w:rsidRPr="00B300DA">
        <w:rPr>
          <w:color w:val="000000" w:themeColor="text1"/>
          <w:sz w:val="20"/>
          <w:szCs w:val="20"/>
        </w:rPr>
        <w:t xml:space="preserve"> Provide a detailed set of responses to the questions posed in </w:t>
      </w:r>
      <w:r w:rsidRPr="00B300DA">
        <w:rPr>
          <w:b/>
          <w:color w:val="000000" w:themeColor="text1"/>
          <w:sz w:val="20"/>
          <w:szCs w:val="20"/>
        </w:rPr>
        <w:t xml:space="preserve">Attachment </w:t>
      </w:r>
      <w:r w:rsidRPr="00005E99">
        <w:rPr>
          <w:b/>
          <w:color w:val="000000" w:themeColor="text1"/>
          <w:sz w:val="20"/>
          <w:szCs w:val="20"/>
        </w:rPr>
        <w:t>1</w:t>
      </w:r>
      <w:r w:rsidRPr="00B300DA">
        <w:rPr>
          <w:color w:val="000000" w:themeColor="text1"/>
          <w:sz w:val="20"/>
          <w:szCs w:val="20"/>
        </w:rPr>
        <w:t xml:space="preserve">. All Vendors must respond to </w:t>
      </w:r>
      <w:r w:rsidRPr="00B300DA">
        <w:rPr>
          <w:b/>
          <w:color w:val="000000" w:themeColor="text1"/>
          <w:sz w:val="20"/>
          <w:szCs w:val="20"/>
        </w:rPr>
        <w:t>Attachment 1</w:t>
      </w:r>
      <w:r w:rsidRPr="00B300DA">
        <w:rPr>
          <w:color w:val="000000" w:themeColor="text1"/>
          <w:sz w:val="20"/>
          <w:szCs w:val="20"/>
        </w:rPr>
        <w:t>. Responses should be both complete and concise.</w:t>
      </w:r>
    </w:p>
    <w:p w14:paraId="06DCE256" w14:textId="77777777" w:rsidR="004C1F13" w:rsidRPr="00B300DA" w:rsidRDefault="004C1F13" w:rsidP="0045646F">
      <w:pPr>
        <w:tabs>
          <w:tab w:val="left" w:pos="1800"/>
        </w:tabs>
        <w:overflowPunct w:val="0"/>
        <w:autoSpaceDE w:val="0"/>
        <w:autoSpaceDN w:val="0"/>
        <w:adjustRightInd w:val="0"/>
        <w:ind w:left="1080"/>
        <w:jc w:val="both"/>
        <w:textAlignment w:val="baseline"/>
        <w:rPr>
          <w:color w:val="000000" w:themeColor="text1"/>
          <w:sz w:val="20"/>
          <w:szCs w:val="20"/>
        </w:rPr>
      </w:pPr>
    </w:p>
    <w:p w14:paraId="62E3B30A" w14:textId="77777777" w:rsidR="004C1F13" w:rsidRPr="00B300DA" w:rsidRDefault="004C1F13"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C: </w:t>
      </w:r>
      <w:r w:rsidRPr="00B300DA">
        <w:rPr>
          <w:color w:val="000000" w:themeColor="text1"/>
          <w:sz w:val="20"/>
          <w:szCs w:val="20"/>
          <w:u w:val="single"/>
        </w:rPr>
        <w:t>Requirements Matrix</w:t>
      </w:r>
      <w:r w:rsidRPr="00B300DA">
        <w:rPr>
          <w:color w:val="000000" w:themeColor="text1"/>
          <w:sz w:val="20"/>
          <w:szCs w:val="20"/>
        </w:rPr>
        <w:t xml:space="preserve">. Complete and return the attached Requirements Matrix in </w:t>
      </w:r>
      <w:r w:rsidRPr="00B300DA">
        <w:rPr>
          <w:b/>
          <w:color w:val="000000" w:themeColor="text1"/>
          <w:sz w:val="20"/>
          <w:szCs w:val="20"/>
        </w:rPr>
        <w:t>Attachment 2</w:t>
      </w:r>
      <w:r w:rsidRPr="00B300DA">
        <w:rPr>
          <w:color w:val="000000" w:themeColor="text1"/>
          <w:sz w:val="20"/>
          <w:szCs w:val="20"/>
        </w:rPr>
        <w:t>.</w:t>
      </w:r>
    </w:p>
    <w:p w14:paraId="54587081" w14:textId="77777777" w:rsidR="006A4E12" w:rsidRPr="00B300DA" w:rsidRDefault="006A4E12" w:rsidP="000D0321">
      <w:pPr>
        <w:tabs>
          <w:tab w:val="left" w:pos="1800"/>
        </w:tabs>
        <w:overflowPunct w:val="0"/>
        <w:autoSpaceDE w:val="0"/>
        <w:autoSpaceDN w:val="0"/>
        <w:adjustRightInd w:val="0"/>
        <w:ind w:left="1080"/>
        <w:jc w:val="both"/>
        <w:textAlignment w:val="baseline"/>
        <w:rPr>
          <w:color w:val="000000" w:themeColor="text1"/>
          <w:sz w:val="20"/>
          <w:szCs w:val="20"/>
        </w:rPr>
      </w:pPr>
    </w:p>
    <w:p w14:paraId="5FE0F7F4" w14:textId="77777777" w:rsidR="0045646F"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w:t>
      </w:r>
      <w:r w:rsidR="004C1F13" w:rsidRPr="00B300DA">
        <w:rPr>
          <w:color w:val="000000" w:themeColor="text1"/>
          <w:sz w:val="20"/>
          <w:szCs w:val="20"/>
        </w:rPr>
        <w:t>D</w:t>
      </w:r>
      <w:r w:rsidRPr="00B300DA">
        <w:rPr>
          <w:color w:val="000000" w:themeColor="text1"/>
          <w:sz w:val="20"/>
          <w:szCs w:val="20"/>
        </w:rPr>
        <w:t>:</w:t>
      </w:r>
      <w:r w:rsidRPr="00B300DA">
        <w:rPr>
          <w:color w:val="000000" w:themeColor="text1"/>
          <w:sz w:val="20"/>
          <w:szCs w:val="20"/>
        </w:rPr>
        <w:tab/>
      </w:r>
      <w:r w:rsidRPr="00B300DA">
        <w:rPr>
          <w:color w:val="000000" w:themeColor="text1"/>
          <w:sz w:val="20"/>
          <w:szCs w:val="20"/>
          <w:u w:val="single"/>
        </w:rPr>
        <w:t>Confidential Information Form.</w:t>
      </w:r>
      <w:r w:rsidRPr="00B300DA">
        <w:rPr>
          <w:color w:val="000000" w:themeColor="text1"/>
          <w:sz w:val="20"/>
          <w:szCs w:val="20"/>
        </w:rPr>
        <w:t xml:space="preserve"> Vendors should identify any material information that </w:t>
      </w:r>
      <w:proofErr w:type="gramStart"/>
      <w:r w:rsidRPr="00B300DA">
        <w:rPr>
          <w:color w:val="000000" w:themeColor="text1"/>
          <w:sz w:val="20"/>
          <w:szCs w:val="20"/>
        </w:rPr>
        <w:t>is considered</w:t>
      </w:r>
      <w:proofErr w:type="gramEnd"/>
      <w:r w:rsidRPr="00B300DA">
        <w:rPr>
          <w:color w:val="000000" w:themeColor="text1"/>
          <w:sz w:val="20"/>
          <w:szCs w:val="20"/>
        </w:rPr>
        <w:t xml:space="preserve"> confidential using the form of </w:t>
      </w:r>
      <w:r w:rsidRPr="00B300DA">
        <w:rPr>
          <w:b/>
          <w:color w:val="000000" w:themeColor="text1"/>
          <w:sz w:val="20"/>
          <w:szCs w:val="20"/>
        </w:rPr>
        <w:t>Attachment</w:t>
      </w:r>
      <w:r w:rsidR="004C1F13" w:rsidRPr="00B300DA">
        <w:rPr>
          <w:b/>
          <w:color w:val="000000" w:themeColor="text1"/>
          <w:sz w:val="20"/>
          <w:szCs w:val="20"/>
        </w:rPr>
        <w:t xml:space="preserve"> </w:t>
      </w:r>
      <w:r w:rsidR="00286BD7" w:rsidRPr="00B300DA">
        <w:rPr>
          <w:b/>
          <w:color w:val="000000" w:themeColor="text1"/>
          <w:sz w:val="20"/>
          <w:szCs w:val="20"/>
        </w:rPr>
        <w:t>3</w:t>
      </w:r>
      <w:r w:rsidRPr="00B300DA">
        <w:rPr>
          <w:color w:val="000000" w:themeColor="text1"/>
          <w:sz w:val="20"/>
          <w:szCs w:val="20"/>
        </w:rPr>
        <w:t>. Any information not within this form is automatically subject to FOIA.</w:t>
      </w:r>
    </w:p>
    <w:p w14:paraId="5495257B" w14:textId="77777777" w:rsidR="00736D47" w:rsidRPr="00B300DA" w:rsidRDefault="00736D47" w:rsidP="0045646F">
      <w:pPr>
        <w:tabs>
          <w:tab w:val="left" w:pos="1800"/>
        </w:tabs>
        <w:overflowPunct w:val="0"/>
        <w:autoSpaceDE w:val="0"/>
        <w:autoSpaceDN w:val="0"/>
        <w:adjustRightInd w:val="0"/>
        <w:ind w:left="1080"/>
        <w:jc w:val="both"/>
        <w:textAlignment w:val="baseline"/>
        <w:rPr>
          <w:color w:val="000000" w:themeColor="text1"/>
          <w:sz w:val="20"/>
          <w:szCs w:val="20"/>
        </w:rPr>
      </w:pPr>
    </w:p>
    <w:p w14:paraId="78CBB15A" w14:textId="77777777" w:rsidR="007D33EA" w:rsidRPr="00B41CB7" w:rsidRDefault="000C0949"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w:t>
      </w:r>
      <w:r w:rsidR="004C1F13" w:rsidRPr="00B300DA">
        <w:rPr>
          <w:color w:val="000000" w:themeColor="text1"/>
          <w:sz w:val="20"/>
          <w:szCs w:val="20"/>
        </w:rPr>
        <w:t>E</w:t>
      </w:r>
      <w:r w:rsidRPr="00B300DA">
        <w:rPr>
          <w:color w:val="000000" w:themeColor="text1"/>
          <w:sz w:val="20"/>
          <w:szCs w:val="20"/>
        </w:rPr>
        <w:t>:</w:t>
      </w:r>
      <w:r w:rsidR="007D33EA" w:rsidRPr="00B300DA">
        <w:rPr>
          <w:color w:val="000000" w:themeColor="text1"/>
          <w:sz w:val="20"/>
          <w:szCs w:val="20"/>
        </w:rPr>
        <w:tab/>
      </w:r>
      <w:r w:rsidR="007D33EA" w:rsidRPr="00B300DA">
        <w:rPr>
          <w:color w:val="000000" w:themeColor="text1"/>
          <w:sz w:val="20"/>
          <w:szCs w:val="20"/>
          <w:u w:val="single"/>
        </w:rPr>
        <w:t>Schedule of Fees</w:t>
      </w:r>
      <w:r w:rsidR="00B93FC4" w:rsidRPr="00B300DA">
        <w:rPr>
          <w:color w:val="000000" w:themeColor="text1"/>
          <w:sz w:val="20"/>
          <w:szCs w:val="20"/>
        </w:rPr>
        <w:t xml:space="preserve">. </w:t>
      </w:r>
      <w:r w:rsidR="007D33EA" w:rsidRPr="00B300DA">
        <w:rPr>
          <w:color w:val="000000" w:themeColor="text1"/>
          <w:sz w:val="20"/>
          <w:szCs w:val="20"/>
        </w:rPr>
        <w:t xml:space="preserve">Provide a schedule of fees </w:t>
      </w:r>
      <w:r w:rsidR="002B711A" w:rsidRPr="00B300DA">
        <w:rPr>
          <w:color w:val="000000" w:themeColor="text1"/>
          <w:sz w:val="20"/>
          <w:szCs w:val="20"/>
        </w:rPr>
        <w:t xml:space="preserve">using the </w:t>
      </w:r>
      <w:r w:rsidR="00227160" w:rsidRPr="00B300DA">
        <w:rPr>
          <w:color w:val="000000" w:themeColor="text1"/>
          <w:sz w:val="20"/>
          <w:szCs w:val="20"/>
        </w:rPr>
        <w:t>P</w:t>
      </w:r>
      <w:r w:rsidR="002B711A" w:rsidRPr="00B300DA">
        <w:rPr>
          <w:color w:val="000000" w:themeColor="text1"/>
          <w:sz w:val="20"/>
          <w:szCs w:val="20"/>
        </w:rPr>
        <w:t xml:space="preserve">ro </w:t>
      </w:r>
      <w:proofErr w:type="spellStart"/>
      <w:r w:rsidR="00227160" w:rsidRPr="00B300DA">
        <w:rPr>
          <w:color w:val="000000" w:themeColor="text1"/>
          <w:sz w:val="20"/>
          <w:szCs w:val="20"/>
        </w:rPr>
        <w:t>F</w:t>
      </w:r>
      <w:r w:rsidR="002B711A" w:rsidRPr="00B300DA">
        <w:rPr>
          <w:color w:val="000000" w:themeColor="text1"/>
          <w:sz w:val="20"/>
          <w:szCs w:val="20"/>
        </w:rPr>
        <w:t>ormas</w:t>
      </w:r>
      <w:proofErr w:type="spellEnd"/>
      <w:r w:rsidR="002B711A" w:rsidRPr="00B300DA">
        <w:rPr>
          <w:color w:val="000000" w:themeColor="text1"/>
          <w:sz w:val="20"/>
          <w:szCs w:val="20"/>
        </w:rPr>
        <w:t xml:space="preserve"> provided in </w:t>
      </w:r>
      <w:r w:rsidR="002B711A" w:rsidRPr="00B300DA">
        <w:rPr>
          <w:b/>
          <w:color w:val="000000" w:themeColor="text1"/>
          <w:sz w:val="20"/>
          <w:szCs w:val="20"/>
        </w:rPr>
        <w:t xml:space="preserve">Attachment </w:t>
      </w:r>
      <w:r w:rsidR="00286BD7" w:rsidRPr="00B300DA">
        <w:rPr>
          <w:b/>
          <w:color w:val="000000" w:themeColor="text1"/>
          <w:sz w:val="20"/>
          <w:szCs w:val="20"/>
        </w:rPr>
        <w:t>4</w:t>
      </w:r>
      <w:r w:rsidR="002B711A" w:rsidRPr="00B300DA">
        <w:rPr>
          <w:color w:val="000000" w:themeColor="text1"/>
          <w:sz w:val="20"/>
          <w:szCs w:val="20"/>
        </w:rPr>
        <w:t xml:space="preserve"> </w:t>
      </w:r>
      <w:r w:rsidR="00227160" w:rsidRPr="00B300DA">
        <w:rPr>
          <w:color w:val="000000" w:themeColor="text1"/>
          <w:sz w:val="20"/>
          <w:szCs w:val="20"/>
        </w:rPr>
        <w:t xml:space="preserve">(attached excel file) </w:t>
      </w:r>
      <w:r w:rsidR="007D33EA" w:rsidRPr="00B300DA">
        <w:rPr>
          <w:color w:val="000000" w:themeColor="text1"/>
          <w:sz w:val="20"/>
          <w:szCs w:val="20"/>
        </w:rPr>
        <w:t xml:space="preserve">for the </w:t>
      </w:r>
      <w:r w:rsidR="009D7361" w:rsidRPr="00B300DA">
        <w:rPr>
          <w:color w:val="000000" w:themeColor="text1"/>
          <w:sz w:val="20"/>
          <w:szCs w:val="20"/>
        </w:rPr>
        <w:t>Vendor</w:t>
      </w:r>
      <w:r w:rsidR="007D33EA" w:rsidRPr="00B300DA">
        <w:rPr>
          <w:color w:val="000000" w:themeColor="text1"/>
          <w:sz w:val="20"/>
          <w:szCs w:val="20"/>
        </w:rPr>
        <w:t xml:space="preserve">’s </w:t>
      </w:r>
      <w:r w:rsidR="002B711A" w:rsidRPr="00B300DA">
        <w:rPr>
          <w:color w:val="000000" w:themeColor="text1"/>
          <w:sz w:val="20"/>
          <w:szCs w:val="20"/>
        </w:rPr>
        <w:t xml:space="preserve">proposed </w:t>
      </w:r>
      <w:r w:rsidR="007D33EA" w:rsidRPr="00B300DA">
        <w:rPr>
          <w:color w:val="000000" w:themeColor="text1"/>
          <w:sz w:val="20"/>
          <w:szCs w:val="20"/>
        </w:rPr>
        <w:t>service</w:t>
      </w:r>
      <w:r w:rsidR="0044433D" w:rsidRPr="00B300DA">
        <w:rPr>
          <w:color w:val="000000" w:themeColor="text1"/>
          <w:sz w:val="20"/>
          <w:szCs w:val="20"/>
        </w:rPr>
        <w:t>(</w:t>
      </w:r>
      <w:r w:rsidR="007D33EA" w:rsidRPr="00B300DA">
        <w:rPr>
          <w:color w:val="000000" w:themeColor="text1"/>
          <w:sz w:val="20"/>
          <w:szCs w:val="20"/>
        </w:rPr>
        <w:t>s</w:t>
      </w:r>
      <w:r w:rsidR="0044433D" w:rsidRPr="00B300DA">
        <w:rPr>
          <w:color w:val="000000" w:themeColor="text1"/>
          <w:sz w:val="20"/>
          <w:szCs w:val="20"/>
        </w:rPr>
        <w:t>)</w:t>
      </w:r>
      <w:r w:rsidR="007D33EA" w:rsidRPr="00B300DA">
        <w:rPr>
          <w:color w:val="000000" w:themeColor="text1"/>
          <w:sz w:val="20"/>
          <w:szCs w:val="20"/>
        </w:rPr>
        <w:t xml:space="preserve">. </w:t>
      </w:r>
      <w:r w:rsidR="009D7361" w:rsidRPr="00B300DA">
        <w:rPr>
          <w:color w:val="000000" w:themeColor="text1"/>
          <w:sz w:val="20"/>
          <w:szCs w:val="20"/>
        </w:rPr>
        <w:t>Vendor</w:t>
      </w:r>
      <w:r w:rsidR="007D33EA" w:rsidRPr="00B300DA">
        <w:rPr>
          <w:color w:val="000000" w:themeColor="text1"/>
          <w:sz w:val="20"/>
          <w:szCs w:val="20"/>
        </w:rPr>
        <w:t>s may also provide alternative fee structures (including, but not limited to, any fixed fee arrangements)</w:t>
      </w:r>
      <w:r w:rsidR="0044433D" w:rsidRPr="00B300DA">
        <w:rPr>
          <w:color w:val="000000" w:themeColor="text1"/>
          <w:sz w:val="20"/>
          <w:szCs w:val="20"/>
        </w:rPr>
        <w:t xml:space="preserve">, however, these alternative fee structures must be </w:t>
      </w:r>
      <w:r w:rsidR="0044433D" w:rsidRPr="00B300DA">
        <w:rPr>
          <w:color w:val="000000" w:themeColor="text1"/>
          <w:sz w:val="20"/>
          <w:szCs w:val="20"/>
          <w:u w:val="single"/>
        </w:rPr>
        <w:t>in addition to</w:t>
      </w:r>
      <w:r w:rsidR="0044433D" w:rsidRPr="00B300DA">
        <w:rPr>
          <w:color w:val="000000" w:themeColor="text1"/>
          <w:sz w:val="20"/>
          <w:szCs w:val="20"/>
        </w:rPr>
        <w:t xml:space="preserve"> the </w:t>
      </w:r>
      <w:r w:rsidR="006D6218" w:rsidRPr="00B300DA">
        <w:rPr>
          <w:color w:val="000000" w:themeColor="text1"/>
          <w:sz w:val="20"/>
          <w:szCs w:val="20"/>
        </w:rPr>
        <w:t xml:space="preserve">Pro </w:t>
      </w:r>
      <w:proofErr w:type="spellStart"/>
      <w:r w:rsidR="006D6218" w:rsidRPr="00B300DA">
        <w:rPr>
          <w:color w:val="000000" w:themeColor="text1"/>
          <w:sz w:val="20"/>
          <w:szCs w:val="20"/>
        </w:rPr>
        <w:t>Formas</w:t>
      </w:r>
      <w:proofErr w:type="spellEnd"/>
      <w:r w:rsidR="006D6218" w:rsidRPr="00B300DA">
        <w:rPr>
          <w:color w:val="000000" w:themeColor="text1"/>
          <w:sz w:val="20"/>
          <w:szCs w:val="20"/>
        </w:rPr>
        <w:t xml:space="preserve"> </w:t>
      </w:r>
      <w:r w:rsidR="0044433D" w:rsidRPr="00B300DA">
        <w:rPr>
          <w:color w:val="000000" w:themeColor="text1"/>
          <w:sz w:val="20"/>
          <w:szCs w:val="20"/>
        </w:rPr>
        <w:t>provided</w:t>
      </w:r>
      <w:r w:rsidR="007D33EA" w:rsidRPr="00B300DA">
        <w:rPr>
          <w:color w:val="000000" w:themeColor="text1"/>
          <w:sz w:val="20"/>
          <w:szCs w:val="20"/>
        </w:rPr>
        <w:t>.</w:t>
      </w:r>
      <w:r w:rsidR="00D677D8" w:rsidRPr="00B300DA">
        <w:rPr>
          <w:color w:val="000000" w:themeColor="text1"/>
          <w:sz w:val="20"/>
          <w:szCs w:val="20"/>
        </w:rPr>
        <w:t xml:space="preserve"> </w:t>
      </w:r>
      <w:r w:rsidR="00227160" w:rsidRPr="00B300DA">
        <w:rPr>
          <w:color w:val="000000" w:themeColor="text1"/>
          <w:sz w:val="20"/>
          <w:szCs w:val="20"/>
        </w:rPr>
        <w:t>Paper copies of proposal shall have this information in print, however, electronic copies MUST contain the completed excel file.</w:t>
      </w:r>
    </w:p>
    <w:p w14:paraId="395FC973" w14:textId="77777777" w:rsidR="009D7361" w:rsidRDefault="009D7361"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2AC00F14" w14:textId="77777777" w:rsidR="0044433D" w:rsidRDefault="0045646F" w:rsidP="00F7465C">
      <w:pPr>
        <w:ind w:left="1080"/>
        <w:jc w:val="both"/>
        <w:rPr>
          <w:color w:val="000000" w:themeColor="text1"/>
          <w:sz w:val="20"/>
          <w:szCs w:val="20"/>
        </w:rPr>
      </w:pPr>
      <w:r>
        <w:rPr>
          <w:color w:val="000000" w:themeColor="text1"/>
          <w:sz w:val="20"/>
          <w:szCs w:val="20"/>
        </w:rPr>
        <w:t>Tab</w:t>
      </w:r>
      <w:r w:rsidR="00227160">
        <w:rPr>
          <w:color w:val="000000" w:themeColor="text1"/>
          <w:sz w:val="20"/>
          <w:szCs w:val="20"/>
        </w:rPr>
        <w:t xml:space="preserve"> </w:t>
      </w:r>
      <w:r w:rsidR="004C1F13">
        <w:rPr>
          <w:color w:val="000000" w:themeColor="text1"/>
          <w:sz w:val="20"/>
          <w:szCs w:val="20"/>
        </w:rPr>
        <w:t>F</w:t>
      </w:r>
      <w:r>
        <w:rPr>
          <w:color w:val="000000" w:themeColor="text1"/>
          <w:sz w:val="20"/>
          <w:szCs w:val="20"/>
        </w:rPr>
        <w:t xml:space="preserve">: </w:t>
      </w:r>
      <w:r w:rsidRPr="00227160">
        <w:rPr>
          <w:color w:val="000000" w:themeColor="text1"/>
          <w:sz w:val="20"/>
          <w:szCs w:val="20"/>
          <w:u w:val="single"/>
        </w:rPr>
        <w:t>Implementation Plan</w:t>
      </w:r>
      <w:r w:rsidR="00227160">
        <w:rPr>
          <w:color w:val="000000" w:themeColor="text1"/>
          <w:sz w:val="20"/>
          <w:szCs w:val="20"/>
        </w:rPr>
        <w:t xml:space="preserve">. Provide a detailed implementation plan </w:t>
      </w:r>
      <w:r w:rsidR="00F7465C">
        <w:rPr>
          <w:color w:val="000000" w:themeColor="text1"/>
          <w:sz w:val="20"/>
          <w:szCs w:val="20"/>
        </w:rPr>
        <w:t>(in weekly increments</w:t>
      </w:r>
      <w:r w:rsidR="000A7D4C">
        <w:rPr>
          <w:color w:val="000000" w:themeColor="text1"/>
          <w:sz w:val="20"/>
          <w:szCs w:val="20"/>
        </w:rPr>
        <w:t xml:space="preserve"> and highlighting milestones</w:t>
      </w:r>
      <w:r w:rsidR="00F7465C">
        <w:rPr>
          <w:color w:val="000000" w:themeColor="text1"/>
          <w:sz w:val="20"/>
          <w:szCs w:val="20"/>
        </w:rPr>
        <w:t xml:space="preserve">) </w:t>
      </w:r>
      <w:r w:rsidR="00227160">
        <w:rPr>
          <w:color w:val="000000" w:themeColor="text1"/>
          <w:sz w:val="20"/>
          <w:szCs w:val="20"/>
        </w:rPr>
        <w:t xml:space="preserve">for </w:t>
      </w:r>
      <w:r w:rsidR="006D4735">
        <w:rPr>
          <w:color w:val="000000" w:themeColor="text1"/>
          <w:sz w:val="20"/>
          <w:szCs w:val="20"/>
        </w:rPr>
        <w:t xml:space="preserve">an account transitioning to </w:t>
      </w:r>
      <w:r w:rsidR="00ED69E4">
        <w:rPr>
          <w:color w:val="000000" w:themeColor="text1"/>
          <w:sz w:val="20"/>
          <w:szCs w:val="20"/>
        </w:rPr>
        <w:t xml:space="preserve">the </w:t>
      </w:r>
      <w:r w:rsidR="006D4735">
        <w:rPr>
          <w:color w:val="000000" w:themeColor="text1"/>
          <w:sz w:val="20"/>
          <w:szCs w:val="20"/>
        </w:rPr>
        <w:t>Vendor</w:t>
      </w:r>
      <w:r w:rsidR="00227160">
        <w:rPr>
          <w:color w:val="000000" w:themeColor="text1"/>
          <w:sz w:val="20"/>
          <w:szCs w:val="20"/>
        </w:rPr>
        <w:t>.</w:t>
      </w:r>
      <w:r w:rsidR="00F06369">
        <w:rPr>
          <w:color w:val="000000" w:themeColor="text1"/>
          <w:sz w:val="20"/>
          <w:szCs w:val="20"/>
        </w:rPr>
        <w:t xml:space="preserve"> </w:t>
      </w:r>
      <w:r w:rsidR="0044433D">
        <w:rPr>
          <w:color w:val="000000" w:themeColor="text1"/>
          <w:sz w:val="20"/>
          <w:szCs w:val="20"/>
        </w:rPr>
        <w:t xml:space="preserve">Ensure to take into consideration the </w:t>
      </w:r>
      <w:r w:rsidR="000A7D4C">
        <w:rPr>
          <w:color w:val="000000" w:themeColor="text1"/>
          <w:sz w:val="20"/>
          <w:szCs w:val="20"/>
        </w:rPr>
        <w:t xml:space="preserve">information </w:t>
      </w:r>
      <w:r w:rsidR="0044433D">
        <w:rPr>
          <w:color w:val="000000" w:themeColor="text1"/>
          <w:sz w:val="20"/>
          <w:szCs w:val="20"/>
        </w:rPr>
        <w:t xml:space="preserve">provided </w:t>
      </w:r>
      <w:proofErr w:type="gramStart"/>
      <w:r w:rsidR="0044433D">
        <w:rPr>
          <w:color w:val="000000" w:themeColor="text1"/>
          <w:sz w:val="20"/>
          <w:szCs w:val="20"/>
        </w:rPr>
        <w:t>below</w:t>
      </w:r>
      <w:proofErr w:type="gramEnd"/>
      <w:r w:rsidR="000A7D4C">
        <w:rPr>
          <w:color w:val="000000" w:themeColor="text1"/>
          <w:sz w:val="20"/>
          <w:szCs w:val="20"/>
        </w:rPr>
        <w:t>.</w:t>
      </w:r>
    </w:p>
    <w:p w14:paraId="250F44FD" w14:textId="77777777" w:rsidR="0044433D" w:rsidRDefault="0044433D" w:rsidP="00F7465C">
      <w:pPr>
        <w:ind w:left="1080"/>
        <w:jc w:val="both"/>
        <w:rPr>
          <w:color w:val="000000" w:themeColor="text1"/>
          <w:sz w:val="20"/>
          <w:szCs w:val="20"/>
        </w:rPr>
      </w:pPr>
    </w:p>
    <w:p w14:paraId="55D665C4" w14:textId="77777777" w:rsidR="0045646F" w:rsidRPr="00B41CB7" w:rsidRDefault="0045646F" w:rsidP="0045646F">
      <w:pPr>
        <w:ind w:left="1080"/>
        <w:jc w:val="both"/>
        <w:rPr>
          <w:color w:val="000000" w:themeColor="text1"/>
          <w:sz w:val="20"/>
          <w:szCs w:val="20"/>
        </w:rPr>
      </w:pPr>
      <w:r w:rsidRPr="00B41CB7">
        <w:rPr>
          <w:color w:val="000000" w:themeColor="text1"/>
          <w:sz w:val="20"/>
          <w:szCs w:val="20"/>
        </w:rPr>
        <w:t xml:space="preserve">Tab </w:t>
      </w:r>
      <w:r w:rsidR="004C1F13">
        <w:rPr>
          <w:color w:val="000000" w:themeColor="text1"/>
          <w:sz w:val="20"/>
          <w:szCs w:val="20"/>
        </w:rPr>
        <w:t>G</w:t>
      </w:r>
      <w:r w:rsidRPr="00B41CB7">
        <w:rPr>
          <w:color w:val="000000" w:themeColor="text1"/>
          <w:sz w:val="20"/>
          <w:szCs w:val="20"/>
        </w:rPr>
        <w:t xml:space="preserve">:   </w:t>
      </w:r>
      <w:r w:rsidRPr="00B41CB7">
        <w:rPr>
          <w:color w:val="000000" w:themeColor="text1"/>
          <w:sz w:val="20"/>
          <w:szCs w:val="20"/>
          <w:u w:val="single"/>
        </w:rPr>
        <w:t>Exception Form.</w:t>
      </w:r>
      <w:r w:rsidRPr="00B41CB7">
        <w:rPr>
          <w:color w:val="000000" w:themeColor="text1"/>
          <w:sz w:val="20"/>
          <w:szCs w:val="20"/>
        </w:rPr>
        <w:t xml:space="preserve"> </w:t>
      </w:r>
      <w:r w:rsidR="00D84563" w:rsidRPr="00D84563">
        <w:rPr>
          <w:color w:val="000000" w:themeColor="text1"/>
          <w:sz w:val="20"/>
          <w:szCs w:val="20"/>
        </w:rPr>
        <w:t xml:space="preserve">Provide a detailed listing of any exceptions to the RFP, </w:t>
      </w:r>
      <w:r w:rsidR="00D84563">
        <w:rPr>
          <w:color w:val="000000" w:themeColor="text1"/>
          <w:sz w:val="20"/>
          <w:szCs w:val="20"/>
        </w:rPr>
        <w:t>including all attachments</w:t>
      </w:r>
      <w:r w:rsidR="001B4018">
        <w:rPr>
          <w:color w:val="000000" w:themeColor="text1"/>
          <w:sz w:val="20"/>
          <w:szCs w:val="20"/>
        </w:rPr>
        <w:t xml:space="preserve"> and </w:t>
      </w:r>
      <w:r w:rsidR="00D84563">
        <w:rPr>
          <w:color w:val="000000" w:themeColor="text1"/>
          <w:sz w:val="20"/>
          <w:szCs w:val="20"/>
        </w:rPr>
        <w:t xml:space="preserve">appendices </w:t>
      </w:r>
      <w:r w:rsidR="0022014D">
        <w:rPr>
          <w:color w:val="000000" w:themeColor="text1"/>
          <w:sz w:val="20"/>
          <w:szCs w:val="20"/>
        </w:rPr>
        <w:t xml:space="preserve">but not including </w:t>
      </w:r>
      <w:r w:rsidR="001B4018">
        <w:rPr>
          <w:color w:val="000000" w:themeColor="text1"/>
          <w:sz w:val="20"/>
          <w:szCs w:val="20"/>
        </w:rPr>
        <w:t xml:space="preserve">the </w:t>
      </w:r>
      <w:r w:rsidR="00D84563">
        <w:rPr>
          <w:color w:val="000000" w:themeColor="text1"/>
          <w:sz w:val="20"/>
          <w:szCs w:val="20"/>
        </w:rPr>
        <w:t>STCs</w:t>
      </w:r>
      <w:r w:rsidR="001B4018">
        <w:rPr>
          <w:color w:val="000000" w:themeColor="text1"/>
          <w:sz w:val="20"/>
          <w:szCs w:val="20"/>
        </w:rPr>
        <w:t xml:space="preserve"> and its exhibits</w:t>
      </w:r>
      <w:r w:rsidR="00D84563">
        <w:rPr>
          <w:color w:val="000000" w:themeColor="text1"/>
          <w:sz w:val="20"/>
          <w:szCs w:val="20"/>
        </w:rPr>
        <w:t xml:space="preserve">, using the form included as </w:t>
      </w:r>
      <w:r w:rsidR="00D84563" w:rsidRPr="00D84563">
        <w:rPr>
          <w:b/>
          <w:color w:val="000000" w:themeColor="text1"/>
          <w:sz w:val="20"/>
          <w:szCs w:val="20"/>
        </w:rPr>
        <w:t xml:space="preserve">Attachment </w:t>
      </w:r>
      <w:r w:rsidR="00286BD7">
        <w:rPr>
          <w:b/>
          <w:color w:val="000000" w:themeColor="text1"/>
          <w:sz w:val="20"/>
          <w:szCs w:val="20"/>
        </w:rPr>
        <w:t>5</w:t>
      </w:r>
      <w:r w:rsidR="00D84563">
        <w:rPr>
          <w:color w:val="000000" w:themeColor="text1"/>
          <w:sz w:val="20"/>
          <w:szCs w:val="20"/>
        </w:rPr>
        <w:t xml:space="preserve">. </w:t>
      </w:r>
      <w:r w:rsidR="00D84563" w:rsidRPr="00D84563">
        <w:rPr>
          <w:color w:val="000000" w:themeColor="text1"/>
          <w:sz w:val="20"/>
          <w:szCs w:val="20"/>
        </w:rPr>
        <w:t xml:space="preserve">Successful Vendors who do not </w:t>
      </w:r>
      <w:r w:rsidR="00D84563">
        <w:rPr>
          <w:color w:val="000000" w:themeColor="text1"/>
          <w:sz w:val="20"/>
          <w:szCs w:val="20"/>
        </w:rPr>
        <w:t xml:space="preserve">take exceptions as required </w:t>
      </w:r>
      <w:proofErr w:type="gramStart"/>
      <w:r w:rsidR="00D84563" w:rsidRPr="00D84563">
        <w:rPr>
          <w:color w:val="000000" w:themeColor="text1"/>
          <w:sz w:val="20"/>
          <w:szCs w:val="20"/>
        </w:rPr>
        <w:t>are deemed</w:t>
      </w:r>
      <w:proofErr w:type="gramEnd"/>
      <w:r w:rsidR="00D84563" w:rsidRPr="00D84563">
        <w:rPr>
          <w:color w:val="000000" w:themeColor="text1"/>
          <w:sz w:val="20"/>
          <w:szCs w:val="20"/>
        </w:rPr>
        <w:t xml:space="preserve"> to have consented and irrevocabl</w:t>
      </w:r>
      <w:r w:rsidR="00D84563">
        <w:rPr>
          <w:color w:val="000000" w:themeColor="text1"/>
          <w:sz w:val="20"/>
          <w:szCs w:val="20"/>
        </w:rPr>
        <w:t>y agreed to the terms of the RFP</w:t>
      </w:r>
      <w:r w:rsidR="00D84563" w:rsidRPr="00D84563">
        <w:rPr>
          <w:color w:val="000000" w:themeColor="text1"/>
          <w:sz w:val="20"/>
          <w:szCs w:val="20"/>
        </w:rPr>
        <w:t>.</w:t>
      </w:r>
    </w:p>
    <w:p w14:paraId="1D0AF176"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47DE0CDD" w14:textId="021263BF" w:rsidR="00D84563" w:rsidRDefault="00D84563" w:rsidP="00D84563">
      <w:pPr>
        <w:ind w:left="1080"/>
        <w:jc w:val="both"/>
        <w:rPr>
          <w:color w:val="000000" w:themeColor="text1"/>
          <w:sz w:val="20"/>
          <w:szCs w:val="20"/>
        </w:rPr>
      </w:pPr>
      <w:r w:rsidRPr="00B41CB7">
        <w:rPr>
          <w:color w:val="000000" w:themeColor="text1"/>
          <w:sz w:val="20"/>
          <w:szCs w:val="20"/>
        </w:rPr>
        <w:t xml:space="preserve">Tab </w:t>
      </w:r>
      <w:r>
        <w:rPr>
          <w:color w:val="000000" w:themeColor="text1"/>
          <w:sz w:val="20"/>
          <w:szCs w:val="20"/>
        </w:rPr>
        <w:t>H</w:t>
      </w:r>
      <w:r w:rsidRPr="00B41CB7">
        <w:rPr>
          <w:color w:val="000000" w:themeColor="text1"/>
          <w:sz w:val="20"/>
          <w:szCs w:val="20"/>
        </w:rPr>
        <w:t xml:space="preserve">:   </w:t>
      </w:r>
      <w:r>
        <w:rPr>
          <w:color w:val="000000" w:themeColor="text1"/>
          <w:sz w:val="20"/>
          <w:szCs w:val="20"/>
          <w:u w:val="single"/>
        </w:rPr>
        <w:t>Redlined Version of STCs</w:t>
      </w:r>
      <w:r w:rsidRPr="00B41CB7">
        <w:rPr>
          <w:color w:val="000000" w:themeColor="text1"/>
          <w:sz w:val="20"/>
          <w:szCs w:val="20"/>
          <w:u w:val="single"/>
        </w:rPr>
        <w:t>.</w:t>
      </w:r>
      <w:r w:rsidRPr="00B41CB7">
        <w:rPr>
          <w:color w:val="000000" w:themeColor="text1"/>
          <w:sz w:val="20"/>
          <w:szCs w:val="20"/>
        </w:rPr>
        <w:t xml:space="preserve"> </w:t>
      </w:r>
      <w:r>
        <w:rPr>
          <w:color w:val="000000" w:themeColor="text1"/>
          <w:sz w:val="20"/>
          <w:szCs w:val="20"/>
        </w:rPr>
        <w:t>I</w:t>
      </w:r>
      <w:r w:rsidR="00A526AF">
        <w:rPr>
          <w:color w:val="000000" w:themeColor="text1"/>
          <w:sz w:val="20"/>
          <w:szCs w:val="20"/>
        </w:rPr>
        <w:t>nclude the</w:t>
      </w:r>
      <w:r w:rsidRPr="00D84563">
        <w:rPr>
          <w:color w:val="000000" w:themeColor="text1"/>
          <w:sz w:val="20"/>
          <w:szCs w:val="20"/>
        </w:rPr>
        <w:t xml:space="preserve"> </w:t>
      </w:r>
      <w:r w:rsidR="00A526AF">
        <w:rPr>
          <w:color w:val="000000" w:themeColor="text1"/>
          <w:sz w:val="20"/>
          <w:szCs w:val="20"/>
        </w:rPr>
        <w:t>Redline</w:t>
      </w:r>
      <w:r w:rsidRPr="00D84563">
        <w:rPr>
          <w:color w:val="000000" w:themeColor="text1"/>
          <w:sz w:val="20"/>
          <w:szCs w:val="20"/>
        </w:rPr>
        <w:t xml:space="preserve"> or similar comparative version of the </w:t>
      </w:r>
      <w:r>
        <w:rPr>
          <w:color w:val="000000" w:themeColor="text1"/>
          <w:sz w:val="20"/>
          <w:szCs w:val="20"/>
        </w:rPr>
        <w:t>STCs</w:t>
      </w:r>
      <w:r w:rsidRPr="00D84563">
        <w:rPr>
          <w:color w:val="000000" w:themeColor="text1"/>
          <w:sz w:val="20"/>
          <w:szCs w:val="20"/>
        </w:rPr>
        <w:t xml:space="preserve">, a copy of which is affixed hereto as </w:t>
      </w:r>
      <w:r w:rsidRPr="00D84563">
        <w:rPr>
          <w:b/>
          <w:color w:val="000000" w:themeColor="text1"/>
          <w:sz w:val="20"/>
          <w:szCs w:val="20"/>
        </w:rPr>
        <w:t xml:space="preserve">Appendix </w:t>
      </w:r>
      <w:r w:rsidR="00B300DA" w:rsidRPr="00B300DA">
        <w:rPr>
          <w:b/>
          <w:color w:val="000000" w:themeColor="text1"/>
          <w:sz w:val="20"/>
          <w:szCs w:val="20"/>
        </w:rPr>
        <w:t>D</w:t>
      </w:r>
      <w:r w:rsidRPr="00D84563">
        <w:rPr>
          <w:color w:val="000000" w:themeColor="text1"/>
          <w:sz w:val="20"/>
          <w:szCs w:val="20"/>
        </w:rPr>
        <w:t xml:space="preserve">, reflecting all proposed changes to the </w:t>
      </w:r>
      <w:r>
        <w:rPr>
          <w:color w:val="000000" w:themeColor="text1"/>
          <w:sz w:val="20"/>
          <w:szCs w:val="20"/>
        </w:rPr>
        <w:t>STCs</w:t>
      </w:r>
      <w:r w:rsidR="007C588F">
        <w:rPr>
          <w:color w:val="000000" w:themeColor="text1"/>
          <w:sz w:val="20"/>
          <w:szCs w:val="20"/>
        </w:rPr>
        <w:t xml:space="preserve"> and </w:t>
      </w:r>
      <w:r w:rsidR="00F22F96">
        <w:rPr>
          <w:b/>
          <w:color w:val="000000" w:themeColor="text1"/>
          <w:sz w:val="20"/>
          <w:szCs w:val="20"/>
        </w:rPr>
        <w:t>Exhibit</w:t>
      </w:r>
      <w:r w:rsidR="007C588F" w:rsidRPr="00F22F96">
        <w:rPr>
          <w:b/>
          <w:color w:val="000000" w:themeColor="text1"/>
          <w:sz w:val="20"/>
          <w:szCs w:val="20"/>
        </w:rPr>
        <w:t xml:space="preserve"> 4</w:t>
      </w:r>
      <w:r w:rsidR="0099623E">
        <w:rPr>
          <w:color w:val="000000" w:themeColor="text1"/>
          <w:sz w:val="20"/>
          <w:szCs w:val="20"/>
        </w:rPr>
        <w:t xml:space="preserve"> </w:t>
      </w:r>
      <w:r w:rsidR="007C588F">
        <w:rPr>
          <w:color w:val="000000" w:themeColor="text1"/>
          <w:sz w:val="20"/>
          <w:szCs w:val="20"/>
        </w:rPr>
        <w:t>thereto</w:t>
      </w:r>
      <w:r w:rsidRPr="00D84563">
        <w:rPr>
          <w:color w:val="000000" w:themeColor="text1"/>
          <w:sz w:val="20"/>
          <w:szCs w:val="20"/>
        </w:rPr>
        <w:t xml:space="preserve">, which changes may be accepted or rejected in OST’s discretion. Successful Vendors who do not propose changes </w:t>
      </w:r>
      <w:proofErr w:type="gramStart"/>
      <w:r w:rsidRPr="00D84563">
        <w:rPr>
          <w:color w:val="000000" w:themeColor="text1"/>
          <w:sz w:val="20"/>
          <w:szCs w:val="20"/>
        </w:rPr>
        <w:t>are deemed</w:t>
      </w:r>
      <w:proofErr w:type="gramEnd"/>
      <w:r w:rsidRPr="00D84563">
        <w:rPr>
          <w:color w:val="000000" w:themeColor="text1"/>
          <w:sz w:val="20"/>
          <w:szCs w:val="20"/>
        </w:rPr>
        <w:t xml:space="preserve"> to have consented and irrevocably agreed to the </w:t>
      </w:r>
      <w:r>
        <w:rPr>
          <w:color w:val="000000" w:themeColor="text1"/>
          <w:sz w:val="20"/>
          <w:szCs w:val="20"/>
        </w:rPr>
        <w:t>STCs</w:t>
      </w:r>
      <w:r w:rsidRPr="00D84563">
        <w:rPr>
          <w:color w:val="000000" w:themeColor="text1"/>
          <w:sz w:val="20"/>
          <w:szCs w:val="20"/>
        </w:rPr>
        <w:t>.</w:t>
      </w:r>
    </w:p>
    <w:p w14:paraId="2CA061B0" w14:textId="77777777" w:rsidR="00D84563" w:rsidRDefault="00D84563" w:rsidP="00D84563">
      <w:pPr>
        <w:ind w:left="1080"/>
        <w:jc w:val="both"/>
        <w:rPr>
          <w:color w:val="000000" w:themeColor="text1"/>
          <w:sz w:val="20"/>
          <w:szCs w:val="20"/>
        </w:rPr>
      </w:pPr>
    </w:p>
    <w:p w14:paraId="1FD069E4" w14:textId="77777777" w:rsidR="00EA77F1" w:rsidRPr="00B41CB7" w:rsidRDefault="00EA77F1"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proofErr w:type="gramStart"/>
      <w:r w:rsidR="00B300DA">
        <w:rPr>
          <w:color w:val="000000" w:themeColor="text1"/>
          <w:sz w:val="20"/>
          <w:szCs w:val="20"/>
        </w:rPr>
        <w:t>I</w:t>
      </w:r>
      <w:proofErr w:type="gramEnd"/>
      <w:r w:rsidRPr="00B41CB7">
        <w:rPr>
          <w:color w:val="000000" w:themeColor="text1"/>
          <w:sz w:val="20"/>
          <w:szCs w:val="20"/>
        </w:rPr>
        <w:t xml:space="preserve">: </w:t>
      </w:r>
      <w:r w:rsidR="0021135C" w:rsidRPr="00B41CB7">
        <w:rPr>
          <w:color w:val="000000" w:themeColor="text1"/>
          <w:sz w:val="20"/>
          <w:szCs w:val="20"/>
        </w:rPr>
        <w:tab/>
      </w:r>
      <w:r w:rsidRPr="00B41CB7">
        <w:rPr>
          <w:color w:val="000000" w:themeColor="text1"/>
          <w:sz w:val="20"/>
          <w:szCs w:val="20"/>
          <w:u w:val="single"/>
        </w:rPr>
        <w:t>Financial Statements</w:t>
      </w:r>
      <w:r w:rsidR="009D7361" w:rsidRPr="00B41CB7">
        <w:rPr>
          <w:color w:val="000000" w:themeColor="text1"/>
          <w:sz w:val="20"/>
          <w:szCs w:val="20"/>
          <w:u w:val="single"/>
        </w:rPr>
        <w:t>.</w:t>
      </w:r>
      <w:r w:rsidR="00B93FC4" w:rsidRPr="00B41CB7">
        <w:rPr>
          <w:color w:val="000000" w:themeColor="text1"/>
          <w:sz w:val="20"/>
          <w:szCs w:val="20"/>
        </w:rPr>
        <w:t xml:space="preserve"> </w:t>
      </w:r>
      <w:r w:rsidR="009D7361" w:rsidRPr="00B41CB7">
        <w:rPr>
          <w:color w:val="000000" w:themeColor="text1"/>
          <w:sz w:val="20"/>
          <w:szCs w:val="20"/>
        </w:rPr>
        <w:t xml:space="preserve">Provide </w:t>
      </w:r>
      <w:r w:rsidR="00A97C16" w:rsidRPr="00A97C16">
        <w:rPr>
          <w:b/>
          <w:i/>
          <w:color w:val="000000" w:themeColor="text1"/>
          <w:sz w:val="20"/>
          <w:szCs w:val="20"/>
        </w:rPr>
        <w:t>electronic</w:t>
      </w:r>
      <w:r w:rsidR="00A97C16">
        <w:rPr>
          <w:color w:val="000000" w:themeColor="text1"/>
          <w:sz w:val="20"/>
          <w:szCs w:val="20"/>
        </w:rPr>
        <w:t xml:space="preserve"> copies (no paper copies) of the </w:t>
      </w:r>
      <w:r w:rsidR="009D7361" w:rsidRPr="00B41CB7">
        <w:rPr>
          <w:color w:val="000000" w:themeColor="text1"/>
          <w:sz w:val="20"/>
          <w:szCs w:val="20"/>
        </w:rPr>
        <w:t>last three years of audited financial statements.</w:t>
      </w:r>
      <w:r w:rsidR="00FB22A2">
        <w:rPr>
          <w:color w:val="000000" w:themeColor="text1"/>
          <w:sz w:val="20"/>
          <w:szCs w:val="20"/>
        </w:rPr>
        <w:t xml:space="preserve"> These statements </w:t>
      </w:r>
      <w:proofErr w:type="gramStart"/>
      <w:r w:rsidR="00FB22A2">
        <w:rPr>
          <w:color w:val="000000" w:themeColor="text1"/>
          <w:sz w:val="20"/>
          <w:szCs w:val="20"/>
        </w:rPr>
        <w:t>shall be submitted</w:t>
      </w:r>
      <w:proofErr w:type="gramEnd"/>
      <w:r w:rsidR="00FB22A2">
        <w:rPr>
          <w:color w:val="000000" w:themeColor="text1"/>
          <w:sz w:val="20"/>
          <w:szCs w:val="20"/>
        </w:rPr>
        <w:t xml:space="preserve"> on the electronic version of the proposal </w:t>
      </w:r>
      <w:r w:rsidR="00C50C15">
        <w:rPr>
          <w:color w:val="000000" w:themeColor="text1"/>
          <w:sz w:val="20"/>
          <w:szCs w:val="20"/>
        </w:rPr>
        <w:t>only</w:t>
      </w:r>
      <w:r w:rsidR="00FB22A2">
        <w:rPr>
          <w:color w:val="000000" w:themeColor="text1"/>
          <w:sz w:val="20"/>
          <w:szCs w:val="20"/>
        </w:rPr>
        <w:t>.</w:t>
      </w:r>
      <w:r w:rsidR="0081483D" w:rsidRPr="00B41CB7">
        <w:rPr>
          <w:color w:val="000000" w:themeColor="text1"/>
          <w:sz w:val="20"/>
          <w:szCs w:val="20"/>
        </w:rPr>
        <w:t xml:space="preserve"> If</w:t>
      </w:r>
      <w:r w:rsidR="00FB22A2">
        <w:rPr>
          <w:color w:val="000000" w:themeColor="text1"/>
          <w:sz w:val="20"/>
          <w:szCs w:val="20"/>
        </w:rPr>
        <w:t>,</w:t>
      </w:r>
      <w:r w:rsidR="0081483D" w:rsidRPr="00B41CB7">
        <w:rPr>
          <w:color w:val="000000" w:themeColor="text1"/>
          <w:sz w:val="20"/>
          <w:szCs w:val="20"/>
        </w:rPr>
        <w:t xml:space="preserve"> and only if</w:t>
      </w:r>
      <w:r w:rsidR="00FB22A2">
        <w:rPr>
          <w:color w:val="000000" w:themeColor="text1"/>
          <w:sz w:val="20"/>
          <w:szCs w:val="20"/>
        </w:rPr>
        <w:t>,</w:t>
      </w:r>
      <w:r w:rsidR="0081483D" w:rsidRPr="00B41CB7">
        <w:rPr>
          <w:color w:val="000000" w:themeColor="text1"/>
          <w:sz w:val="20"/>
          <w:szCs w:val="20"/>
        </w:rPr>
        <w:t xml:space="preserve"> audited financial statements are not available, Vendors may submi</w:t>
      </w:r>
      <w:r w:rsidR="0037235D" w:rsidRPr="00B41CB7">
        <w:rPr>
          <w:color w:val="000000" w:themeColor="text1"/>
          <w:sz w:val="20"/>
          <w:szCs w:val="20"/>
        </w:rPr>
        <w:t xml:space="preserve">t unaudited financial statements (in which case, </w:t>
      </w:r>
      <w:r w:rsidR="0081483D" w:rsidRPr="00B41CB7">
        <w:rPr>
          <w:color w:val="000000" w:themeColor="text1"/>
          <w:sz w:val="20"/>
          <w:szCs w:val="20"/>
        </w:rPr>
        <w:t>Vendors shall explain in detail why audited financi</w:t>
      </w:r>
      <w:r w:rsidR="0037235D" w:rsidRPr="00B41CB7">
        <w:rPr>
          <w:color w:val="000000" w:themeColor="text1"/>
          <w:sz w:val="20"/>
          <w:szCs w:val="20"/>
        </w:rPr>
        <w:t>al statements are not available).</w:t>
      </w:r>
    </w:p>
    <w:p w14:paraId="197B1836" w14:textId="77777777" w:rsidR="00B0269E" w:rsidRPr="00B41CB7" w:rsidRDefault="00B0269E"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225C94EE" w14:textId="77777777" w:rsidR="009D7361" w:rsidRPr="00B41CB7" w:rsidRDefault="009D7361" w:rsidP="0005743F">
      <w:pPr>
        <w:tabs>
          <w:tab w:val="left" w:pos="1800"/>
        </w:tabs>
        <w:overflowPunct w:val="0"/>
        <w:autoSpaceDE w:val="0"/>
        <w:autoSpaceDN w:val="0"/>
        <w:adjustRightInd w:val="0"/>
        <w:ind w:left="1080"/>
        <w:jc w:val="both"/>
        <w:textAlignment w:val="baseline"/>
        <w:rPr>
          <w:color w:val="000000" w:themeColor="text1"/>
          <w:sz w:val="20"/>
          <w:szCs w:val="20"/>
        </w:rPr>
      </w:pPr>
      <w:r w:rsidRPr="00DC2E2F">
        <w:rPr>
          <w:color w:val="000000" w:themeColor="text1"/>
          <w:sz w:val="20"/>
          <w:szCs w:val="20"/>
        </w:rPr>
        <w:t xml:space="preserve">Tab </w:t>
      </w:r>
      <w:r w:rsidR="00B300DA" w:rsidRPr="00DC2E2F">
        <w:rPr>
          <w:color w:val="000000" w:themeColor="text1"/>
          <w:sz w:val="20"/>
          <w:szCs w:val="20"/>
        </w:rPr>
        <w:t>J</w:t>
      </w:r>
      <w:r w:rsidRPr="00DC2E2F">
        <w:rPr>
          <w:color w:val="000000" w:themeColor="text1"/>
          <w:sz w:val="20"/>
          <w:szCs w:val="20"/>
        </w:rPr>
        <w:t>:</w:t>
      </w:r>
      <w:r w:rsidRPr="00DC2E2F">
        <w:rPr>
          <w:color w:val="000000" w:themeColor="text1"/>
          <w:sz w:val="20"/>
          <w:szCs w:val="20"/>
        </w:rPr>
        <w:tab/>
      </w:r>
      <w:r w:rsidRPr="00DC2E2F">
        <w:rPr>
          <w:color w:val="000000" w:themeColor="text1"/>
          <w:sz w:val="20"/>
          <w:szCs w:val="20"/>
          <w:u w:val="single"/>
        </w:rPr>
        <w:t>Business References</w:t>
      </w:r>
      <w:r w:rsidR="00B0269E" w:rsidRPr="00DC2E2F">
        <w:rPr>
          <w:color w:val="000000" w:themeColor="text1"/>
          <w:sz w:val="20"/>
          <w:szCs w:val="20"/>
          <w:u w:val="single"/>
        </w:rPr>
        <w:t>.</w:t>
      </w:r>
      <w:r w:rsidR="00B0269E" w:rsidRPr="00DC2E2F">
        <w:rPr>
          <w:color w:val="000000" w:themeColor="text1"/>
          <w:sz w:val="20"/>
          <w:szCs w:val="20"/>
        </w:rPr>
        <w:t xml:space="preserve"> Provide at least three business references using the form provided in </w:t>
      </w:r>
      <w:r w:rsidR="00B0269E" w:rsidRPr="00AF7851">
        <w:rPr>
          <w:b/>
          <w:color w:val="000000" w:themeColor="text1"/>
          <w:sz w:val="20"/>
          <w:szCs w:val="20"/>
        </w:rPr>
        <w:t>Attachment</w:t>
      </w:r>
      <w:r w:rsidR="004C1F13" w:rsidRPr="00AF7851">
        <w:rPr>
          <w:b/>
          <w:color w:val="000000" w:themeColor="text1"/>
          <w:sz w:val="20"/>
          <w:szCs w:val="20"/>
        </w:rPr>
        <w:t xml:space="preserve"> </w:t>
      </w:r>
      <w:r w:rsidR="00E7538C" w:rsidRPr="00DC2E2F">
        <w:rPr>
          <w:b/>
          <w:color w:val="000000" w:themeColor="text1"/>
          <w:sz w:val="20"/>
          <w:szCs w:val="20"/>
        </w:rPr>
        <w:t>6</w:t>
      </w:r>
      <w:r w:rsidR="00B0269E" w:rsidRPr="00DC2E2F">
        <w:rPr>
          <w:color w:val="000000" w:themeColor="text1"/>
          <w:sz w:val="20"/>
          <w:szCs w:val="20"/>
        </w:rPr>
        <w:t>.</w:t>
      </w:r>
      <w:r w:rsidR="002B711A" w:rsidRPr="00DC2E2F">
        <w:rPr>
          <w:color w:val="000000" w:themeColor="text1"/>
          <w:sz w:val="20"/>
          <w:szCs w:val="20"/>
        </w:rPr>
        <w:t xml:space="preserve"> </w:t>
      </w:r>
    </w:p>
    <w:p w14:paraId="54CA229C" w14:textId="77777777" w:rsidR="009D7361" w:rsidRDefault="009D7361" w:rsidP="000D0321">
      <w:pPr>
        <w:tabs>
          <w:tab w:val="left" w:pos="234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  </w:t>
      </w:r>
    </w:p>
    <w:p w14:paraId="699EA4B1" w14:textId="77777777" w:rsidR="0045646F" w:rsidRPr="00B41CB7"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1C614D">
        <w:rPr>
          <w:color w:val="000000" w:themeColor="text1"/>
          <w:sz w:val="20"/>
          <w:szCs w:val="20"/>
        </w:rPr>
        <w:t>K</w:t>
      </w:r>
      <w:r w:rsidRPr="00B41CB7">
        <w:rPr>
          <w:color w:val="000000" w:themeColor="text1"/>
          <w:sz w:val="20"/>
          <w:szCs w:val="20"/>
        </w:rPr>
        <w:t>:</w:t>
      </w:r>
      <w:r w:rsidRPr="00B41CB7">
        <w:rPr>
          <w:color w:val="000000" w:themeColor="text1"/>
          <w:sz w:val="20"/>
          <w:szCs w:val="20"/>
        </w:rPr>
        <w:tab/>
      </w:r>
      <w:r w:rsidRPr="00B41CB7">
        <w:rPr>
          <w:color w:val="000000" w:themeColor="text1"/>
          <w:sz w:val="20"/>
          <w:szCs w:val="20"/>
          <w:u w:val="single"/>
        </w:rPr>
        <w:t>Business Continuity and Disaster Recovery Plans.</w:t>
      </w:r>
      <w:r w:rsidRPr="00B41CB7">
        <w:rPr>
          <w:color w:val="000000" w:themeColor="text1"/>
          <w:sz w:val="20"/>
          <w:szCs w:val="20"/>
        </w:rPr>
        <w:t xml:space="preserve">  Vendors responding to this RFP must attach summaries or copies of their business continuity and disaster recovery plans.</w:t>
      </w:r>
    </w:p>
    <w:p w14:paraId="06211B55"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3F22371D" w14:textId="77777777" w:rsidR="0045646F" w:rsidRDefault="0045646F" w:rsidP="0045646F">
      <w:pPr>
        <w:tabs>
          <w:tab w:val="left" w:pos="234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1C614D">
        <w:rPr>
          <w:color w:val="000000" w:themeColor="text1"/>
          <w:sz w:val="20"/>
          <w:szCs w:val="20"/>
        </w:rPr>
        <w:t>L</w:t>
      </w:r>
      <w:r w:rsidRPr="00B41CB7">
        <w:rPr>
          <w:color w:val="000000" w:themeColor="text1"/>
          <w:sz w:val="20"/>
          <w:szCs w:val="20"/>
        </w:rPr>
        <w:t xml:space="preserve">:  </w:t>
      </w:r>
      <w:r w:rsidRPr="00B41CB7">
        <w:rPr>
          <w:color w:val="000000" w:themeColor="text1"/>
          <w:sz w:val="20"/>
          <w:szCs w:val="20"/>
          <w:u w:val="single"/>
        </w:rPr>
        <w:t>Retention Policies.</w:t>
      </w:r>
      <w:r w:rsidRPr="00B41CB7">
        <w:rPr>
          <w:color w:val="000000" w:themeColor="text1"/>
          <w:sz w:val="20"/>
          <w:szCs w:val="20"/>
        </w:rPr>
        <w:t xml:space="preserve">  Vendors responding to this RFP must attach </w:t>
      </w:r>
      <w:r w:rsidR="002E57A9" w:rsidRPr="00B41CB7">
        <w:rPr>
          <w:color w:val="000000" w:themeColor="text1"/>
          <w:sz w:val="20"/>
          <w:szCs w:val="20"/>
        </w:rPr>
        <w:t xml:space="preserve">copies of their retention policies </w:t>
      </w:r>
      <w:r w:rsidR="00563316">
        <w:rPr>
          <w:color w:val="000000" w:themeColor="text1"/>
          <w:sz w:val="20"/>
          <w:szCs w:val="20"/>
        </w:rPr>
        <w:t xml:space="preserve">and documents </w:t>
      </w:r>
      <w:r w:rsidR="002E57A9">
        <w:rPr>
          <w:color w:val="000000" w:themeColor="text1"/>
          <w:sz w:val="20"/>
          <w:szCs w:val="20"/>
        </w:rPr>
        <w:t xml:space="preserve">or substantive </w:t>
      </w:r>
      <w:r w:rsidRPr="00B41CB7">
        <w:rPr>
          <w:color w:val="000000" w:themeColor="text1"/>
          <w:sz w:val="20"/>
          <w:szCs w:val="20"/>
        </w:rPr>
        <w:t>summaries o</w:t>
      </w:r>
      <w:r w:rsidR="002E57A9">
        <w:rPr>
          <w:color w:val="000000" w:themeColor="text1"/>
          <w:sz w:val="20"/>
          <w:szCs w:val="20"/>
        </w:rPr>
        <w:t>f the same</w:t>
      </w:r>
      <w:r w:rsidRPr="00B41CB7">
        <w:rPr>
          <w:color w:val="000000" w:themeColor="text1"/>
          <w:sz w:val="20"/>
          <w:szCs w:val="20"/>
        </w:rPr>
        <w:t>.</w:t>
      </w:r>
    </w:p>
    <w:p w14:paraId="1EA925F5"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5A21FA59" w14:textId="77777777" w:rsidR="0045646F" w:rsidRPr="00B41CB7"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1C614D">
        <w:rPr>
          <w:color w:val="000000" w:themeColor="text1"/>
          <w:sz w:val="20"/>
          <w:szCs w:val="20"/>
        </w:rPr>
        <w:t>M</w:t>
      </w:r>
      <w:r w:rsidRPr="00B41CB7">
        <w:rPr>
          <w:color w:val="000000" w:themeColor="text1"/>
          <w:sz w:val="20"/>
          <w:szCs w:val="20"/>
        </w:rPr>
        <w:t>:</w:t>
      </w:r>
      <w:r w:rsidRPr="00B41CB7">
        <w:rPr>
          <w:color w:val="000000" w:themeColor="text1"/>
          <w:sz w:val="20"/>
          <w:szCs w:val="20"/>
        </w:rPr>
        <w:tab/>
      </w:r>
      <w:r w:rsidR="001B4018" w:rsidRPr="001B4018">
        <w:rPr>
          <w:color w:val="000000" w:themeColor="text1"/>
          <w:sz w:val="20"/>
          <w:szCs w:val="20"/>
          <w:u w:val="single"/>
        </w:rPr>
        <w:t xml:space="preserve">Proposed </w:t>
      </w:r>
      <w:r w:rsidR="001B4018" w:rsidRPr="00C9780C">
        <w:rPr>
          <w:color w:val="000000" w:themeColor="text1"/>
          <w:sz w:val="20"/>
          <w:szCs w:val="20"/>
          <w:u w:val="single"/>
        </w:rPr>
        <w:t xml:space="preserve">Vendor </w:t>
      </w:r>
      <w:r w:rsidRPr="00C9780C">
        <w:rPr>
          <w:color w:val="000000" w:themeColor="text1"/>
          <w:sz w:val="20"/>
          <w:szCs w:val="20"/>
          <w:u w:val="single"/>
        </w:rPr>
        <w:t>Form of</w:t>
      </w:r>
      <w:r w:rsidRPr="00B41CB7">
        <w:rPr>
          <w:color w:val="000000" w:themeColor="text1"/>
          <w:sz w:val="20"/>
          <w:szCs w:val="20"/>
          <w:u w:val="single"/>
        </w:rPr>
        <w:t xml:space="preserve"> Agreement.</w:t>
      </w:r>
      <w:r w:rsidRPr="00B41CB7">
        <w:rPr>
          <w:color w:val="000000" w:themeColor="text1"/>
          <w:sz w:val="20"/>
          <w:szCs w:val="20"/>
        </w:rPr>
        <w:t xml:space="preserve">  Vendors responding to this RFP must attach the proposed form of agreement covering the Services, includi</w:t>
      </w:r>
      <w:r w:rsidR="001B4018">
        <w:rPr>
          <w:color w:val="000000" w:themeColor="text1"/>
          <w:sz w:val="20"/>
          <w:szCs w:val="20"/>
        </w:rPr>
        <w:t xml:space="preserve">ng, without limitation, </w:t>
      </w:r>
      <w:r w:rsidRPr="00B41CB7">
        <w:rPr>
          <w:color w:val="000000" w:themeColor="text1"/>
          <w:sz w:val="20"/>
          <w:szCs w:val="20"/>
        </w:rPr>
        <w:t xml:space="preserve">all </w:t>
      </w:r>
      <w:r w:rsidR="001B4018">
        <w:rPr>
          <w:color w:val="000000" w:themeColor="text1"/>
          <w:sz w:val="20"/>
          <w:szCs w:val="20"/>
        </w:rPr>
        <w:t xml:space="preserve">proposed </w:t>
      </w:r>
      <w:r w:rsidRPr="00B41CB7">
        <w:rPr>
          <w:color w:val="000000" w:themeColor="text1"/>
          <w:sz w:val="20"/>
          <w:szCs w:val="20"/>
        </w:rPr>
        <w:t xml:space="preserve">exhibits, attachments, schedules, ancillary agreements, authorization or acknowledgement forms, and any other documents </w:t>
      </w:r>
      <w:r w:rsidR="001B4018">
        <w:rPr>
          <w:color w:val="000000" w:themeColor="text1"/>
          <w:sz w:val="20"/>
          <w:szCs w:val="20"/>
        </w:rPr>
        <w:t xml:space="preserve">that the Vendor proposes to govern </w:t>
      </w:r>
      <w:r w:rsidRPr="00B41CB7">
        <w:rPr>
          <w:color w:val="000000" w:themeColor="text1"/>
          <w:sz w:val="20"/>
          <w:szCs w:val="20"/>
        </w:rPr>
        <w:t>the terms and conditions of the Services.</w:t>
      </w:r>
    </w:p>
    <w:p w14:paraId="648E1A12" w14:textId="77777777" w:rsidR="0045646F" w:rsidRDefault="0045646F" w:rsidP="00FA3652">
      <w:pPr>
        <w:tabs>
          <w:tab w:val="left" w:pos="2340"/>
        </w:tabs>
        <w:overflowPunct w:val="0"/>
        <w:autoSpaceDE w:val="0"/>
        <w:autoSpaceDN w:val="0"/>
        <w:adjustRightInd w:val="0"/>
        <w:jc w:val="both"/>
        <w:textAlignment w:val="baseline"/>
        <w:rPr>
          <w:color w:val="000000" w:themeColor="text1"/>
          <w:sz w:val="20"/>
          <w:szCs w:val="20"/>
        </w:rPr>
      </w:pPr>
    </w:p>
    <w:p w14:paraId="3A8B1A67" w14:textId="77777777" w:rsidR="009D7361" w:rsidRPr="00E95A68" w:rsidRDefault="009D7361"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E95A68">
        <w:rPr>
          <w:color w:val="000000" w:themeColor="text1"/>
          <w:sz w:val="20"/>
          <w:szCs w:val="20"/>
        </w:rPr>
        <w:t xml:space="preserve">Tab </w:t>
      </w:r>
      <w:r w:rsidR="001C614D" w:rsidRPr="00E95A68">
        <w:rPr>
          <w:color w:val="000000" w:themeColor="text1"/>
          <w:sz w:val="20"/>
          <w:szCs w:val="20"/>
        </w:rPr>
        <w:t>N</w:t>
      </w:r>
      <w:r w:rsidRPr="00E95A68">
        <w:rPr>
          <w:color w:val="000000" w:themeColor="text1"/>
          <w:sz w:val="20"/>
          <w:szCs w:val="20"/>
        </w:rPr>
        <w:t xml:space="preserve">: </w:t>
      </w:r>
      <w:r w:rsidRPr="00E95A68">
        <w:rPr>
          <w:color w:val="000000" w:themeColor="text1"/>
          <w:sz w:val="20"/>
          <w:szCs w:val="20"/>
        </w:rPr>
        <w:tab/>
      </w:r>
      <w:r w:rsidR="00B0269E" w:rsidRPr="00E95A68">
        <w:rPr>
          <w:color w:val="000000" w:themeColor="text1"/>
          <w:sz w:val="20"/>
          <w:szCs w:val="20"/>
          <w:u w:val="single"/>
        </w:rPr>
        <w:t>Non-Collusion Statement.</w:t>
      </w:r>
      <w:r w:rsidR="00B0269E" w:rsidRPr="00E95A68">
        <w:rPr>
          <w:color w:val="000000" w:themeColor="text1"/>
          <w:sz w:val="20"/>
          <w:szCs w:val="20"/>
        </w:rPr>
        <w:t xml:space="preserve"> Vendors responding to this RFP must complete and return a statement of non-collusion </w:t>
      </w:r>
      <w:r w:rsidR="007317C4" w:rsidRPr="00E95A68">
        <w:rPr>
          <w:color w:val="000000" w:themeColor="text1"/>
          <w:sz w:val="20"/>
          <w:szCs w:val="20"/>
        </w:rPr>
        <w:t>in the form of</w:t>
      </w:r>
      <w:r w:rsidR="00B0269E" w:rsidRPr="00E95A68">
        <w:rPr>
          <w:color w:val="000000" w:themeColor="text1"/>
          <w:sz w:val="20"/>
          <w:szCs w:val="20"/>
        </w:rPr>
        <w:t xml:space="preserve"> </w:t>
      </w:r>
      <w:r w:rsidRPr="00E95A68">
        <w:rPr>
          <w:b/>
          <w:color w:val="000000" w:themeColor="text1"/>
          <w:sz w:val="20"/>
          <w:szCs w:val="20"/>
        </w:rPr>
        <w:t xml:space="preserve">Attachment </w:t>
      </w:r>
      <w:r w:rsidR="00E7538C" w:rsidRPr="00E95A68">
        <w:rPr>
          <w:b/>
          <w:color w:val="000000" w:themeColor="text1"/>
          <w:sz w:val="20"/>
          <w:szCs w:val="20"/>
        </w:rPr>
        <w:t>7</w:t>
      </w:r>
      <w:r w:rsidR="00B0269E" w:rsidRPr="00E95A68">
        <w:rPr>
          <w:color w:val="000000" w:themeColor="text1"/>
          <w:sz w:val="20"/>
          <w:szCs w:val="20"/>
        </w:rPr>
        <w:t xml:space="preserve">.  </w:t>
      </w:r>
    </w:p>
    <w:p w14:paraId="0580B08C" w14:textId="77777777" w:rsidR="00B0269E" w:rsidRPr="00E95A68" w:rsidRDefault="00B0269E"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35019725" w14:textId="77777777" w:rsidR="009D7361" w:rsidRPr="00E95A68" w:rsidRDefault="009D7361"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E95A68">
        <w:rPr>
          <w:color w:val="000000" w:themeColor="text1"/>
          <w:sz w:val="20"/>
          <w:szCs w:val="20"/>
        </w:rPr>
        <w:t xml:space="preserve">Tab </w:t>
      </w:r>
      <w:r w:rsidR="001C614D" w:rsidRPr="00E95A68">
        <w:rPr>
          <w:color w:val="000000" w:themeColor="text1"/>
          <w:sz w:val="20"/>
          <w:szCs w:val="20"/>
        </w:rPr>
        <w:t>O</w:t>
      </w:r>
      <w:r w:rsidRPr="00E95A68">
        <w:rPr>
          <w:color w:val="000000" w:themeColor="text1"/>
          <w:sz w:val="20"/>
          <w:szCs w:val="20"/>
        </w:rPr>
        <w:t xml:space="preserve">: </w:t>
      </w:r>
      <w:r w:rsidRPr="00E95A68">
        <w:rPr>
          <w:color w:val="000000" w:themeColor="text1"/>
          <w:sz w:val="20"/>
          <w:szCs w:val="20"/>
        </w:rPr>
        <w:tab/>
      </w:r>
      <w:r w:rsidR="00B0269E" w:rsidRPr="00E95A68">
        <w:rPr>
          <w:color w:val="000000" w:themeColor="text1"/>
          <w:sz w:val="20"/>
          <w:szCs w:val="20"/>
          <w:u w:val="single"/>
        </w:rPr>
        <w:t>Employing Delawareans Report.</w:t>
      </w:r>
      <w:r w:rsidR="00B0269E" w:rsidRPr="00E95A68">
        <w:rPr>
          <w:color w:val="000000" w:themeColor="text1"/>
          <w:sz w:val="20"/>
          <w:szCs w:val="20"/>
        </w:rPr>
        <w:t xml:space="preserve"> Vendors responding to this RFP must complete and return </w:t>
      </w:r>
      <w:r w:rsidRPr="00E95A68">
        <w:rPr>
          <w:b/>
          <w:color w:val="000000" w:themeColor="text1"/>
          <w:sz w:val="20"/>
          <w:szCs w:val="20"/>
        </w:rPr>
        <w:t xml:space="preserve">Attachment </w:t>
      </w:r>
      <w:r w:rsidR="00E7538C" w:rsidRPr="00E95A68">
        <w:rPr>
          <w:b/>
          <w:color w:val="000000" w:themeColor="text1"/>
          <w:sz w:val="20"/>
          <w:szCs w:val="20"/>
        </w:rPr>
        <w:t>8</w:t>
      </w:r>
      <w:r w:rsidR="00B0269E" w:rsidRPr="00E95A68">
        <w:rPr>
          <w:color w:val="000000" w:themeColor="text1"/>
          <w:sz w:val="20"/>
          <w:szCs w:val="20"/>
        </w:rPr>
        <w:t xml:space="preserve">, for the total employees of the </w:t>
      </w:r>
      <w:r w:rsidR="0001773D" w:rsidRPr="00E95A68">
        <w:rPr>
          <w:color w:val="000000" w:themeColor="text1"/>
          <w:sz w:val="20"/>
          <w:szCs w:val="20"/>
        </w:rPr>
        <w:t>F</w:t>
      </w:r>
      <w:r w:rsidR="00B0269E" w:rsidRPr="00E95A68">
        <w:rPr>
          <w:color w:val="000000" w:themeColor="text1"/>
          <w:sz w:val="20"/>
          <w:szCs w:val="20"/>
        </w:rPr>
        <w:t>irm and those that may be Delaware residents</w:t>
      </w:r>
      <w:r w:rsidR="007317C4" w:rsidRPr="00E95A68">
        <w:rPr>
          <w:color w:val="000000" w:themeColor="text1"/>
          <w:sz w:val="20"/>
          <w:szCs w:val="20"/>
        </w:rPr>
        <w:t>.</w:t>
      </w:r>
      <w:r w:rsidR="00B0269E" w:rsidRPr="00E95A68">
        <w:rPr>
          <w:color w:val="000000" w:themeColor="text1"/>
          <w:sz w:val="20"/>
          <w:szCs w:val="20"/>
        </w:rPr>
        <w:t xml:space="preserve"> </w:t>
      </w:r>
    </w:p>
    <w:p w14:paraId="19102755" w14:textId="77777777" w:rsidR="00B3138B" w:rsidRPr="00E95A68" w:rsidRDefault="00B3138B" w:rsidP="00B3138B">
      <w:pPr>
        <w:ind w:left="1260" w:hanging="360"/>
        <w:jc w:val="both"/>
        <w:rPr>
          <w:sz w:val="20"/>
          <w:szCs w:val="20"/>
        </w:rPr>
      </w:pPr>
    </w:p>
    <w:p w14:paraId="1BC1A6E5" w14:textId="77777777" w:rsidR="00B3138B" w:rsidRPr="00E95A68" w:rsidRDefault="00B3138B" w:rsidP="00E95A68">
      <w:pPr>
        <w:pStyle w:val="Style2"/>
        <w:numPr>
          <w:ilvl w:val="0"/>
          <w:numId w:val="16"/>
        </w:numPr>
        <w:ind w:left="1080"/>
        <w:jc w:val="both"/>
      </w:pPr>
      <w:r w:rsidRPr="00E95A68">
        <w:t>Prior to award, the successful Vendor shall furnish OST with proof of (</w:t>
      </w:r>
      <w:proofErr w:type="spellStart"/>
      <w:r w:rsidRPr="00E95A68">
        <w:t>i</w:t>
      </w:r>
      <w:proofErr w:type="spellEnd"/>
      <w:r w:rsidRPr="00E95A68">
        <w:t xml:space="preserve">) </w:t>
      </w:r>
      <w:r w:rsidR="00A23800" w:rsidRPr="00E95A68">
        <w:t xml:space="preserve">all necessary business licenses, including a </w:t>
      </w:r>
      <w:r w:rsidRPr="00E95A68">
        <w:t xml:space="preserve">valid State </w:t>
      </w:r>
      <w:r w:rsidR="00EA77F1" w:rsidRPr="00E95A68">
        <w:t>b</w:t>
      </w:r>
      <w:r w:rsidRPr="00E95A68">
        <w:t xml:space="preserve">usiness </w:t>
      </w:r>
      <w:r w:rsidR="00EA77F1" w:rsidRPr="00E95A68">
        <w:t>l</w:t>
      </w:r>
      <w:r w:rsidRPr="00E95A68">
        <w:t>icens</w:t>
      </w:r>
      <w:r w:rsidR="00EA77F1" w:rsidRPr="00E95A68">
        <w:t>e</w:t>
      </w:r>
      <w:r w:rsidRPr="00E95A68">
        <w:t xml:space="preserve">, (ii) certification(s) necessary to perform services as identified in the Scope of Services set out in </w:t>
      </w:r>
      <w:r w:rsidRPr="00E95A68">
        <w:rPr>
          <w:b/>
        </w:rPr>
        <w:t xml:space="preserve">Appendix </w:t>
      </w:r>
      <w:r w:rsidR="00B0269E" w:rsidRPr="00E95A68">
        <w:rPr>
          <w:b/>
        </w:rPr>
        <w:t>A</w:t>
      </w:r>
      <w:r w:rsidRPr="00E95A68">
        <w:rPr>
          <w:b/>
        </w:rPr>
        <w:t>,</w:t>
      </w:r>
      <w:r w:rsidRPr="00E95A68">
        <w:t xml:space="preserve"> and (iii) proof of insurance identified in </w:t>
      </w:r>
      <w:r w:rsidR="00E95A68" w:rsidRPr="00E95A68">
        <w:rPr>
          <w:b/>
        </w:rPr>
        <w:t>Section 9</w:t>
      </w:r>
      <w:r w:rsidRPr="00E95A68">
        <w:t xml:space="preserve"> of the </w:t>
      </w:r>
      <w:r w:rsidR="0001773D" w:rsidRPr="00E95A68">
        <w:t xml:space="preserve">STCs </w:t>
      </w:r>
      <w:r w:rsidRPr="00E95A68">
        <w:t xml:space="preserve">attached hereto as </w:t>
      </w:r>
      <w:r w:rsidRPr="00E95A68">
        <w:rPr>
          <w:b/>
        </w:rPr>
        <w:t xml:space="preserve">Appendix </w:t>
      </w:r>
      <w:r w:rsidR="00E95A68" w:rsidRPr="00E95A68">
        <w:rPr>
          <w:b/>
        </w:rPr>
        <w:t>D</w:t>
      </w:r>
      <w:r w:rsidRPr="00E95A68">
        <w:t>.</w:t>
      </w:r>
    </w:p>
    <w:p w14:paraId="6F2C6FD0" w14:textId="77777777" w:rsidR="00B3138B" w:rsidRPr="00CB65AC" w:rsidRDefault="00B3138B" w:rsidP="00B57C4D">
      <w:pPr>
        <w:pStyle w:val="Heading2"/>
        <w:numPr>
          <w:ilvl w:val="1"/>
          <w:numId w:val="127"/>
        </w:numPr>
        <w:tabs>
          <w:tab w:val="clear" w:pos="2880"/>
        </w:tabs>
        <w:ind w:left="360"/>
      </w:pPr>
      <w:r w:rsidRPr="00C45EF9">
        <w:t>Evaluation Criteria</w:t>
      </w:r>
    </w:p>
    <w:p w14:paraId="16CA697D" w14:textId="01F30099" w:rsidR="007D3D30" w:rsidRDefault="00F870F7" w:rsidP="00B36E61">
      <w:pPr>
        <w:ind w:left="360"/>
        <w:jc w:val="both"/>
        <w:rPr>
          <w:sz w:val="20"/>
          <w:szCs w:val="20"/>
        </w:rPr>
      </w:pPr>
      <w:r w:rsidRPr="00C45EF9">
        <w:rPr>
          <w:sz w:val="20"/>
          <w:szCs w:val="20"/>
        </w:rPr>
        <w:t xml:space="preserve">An evaluation team </w:t>
      </w:r>
      <w:r w:rsidR="00B22403" w:rsidRPr="00C45EF9">
        <w:rPr>
          <w:sz w:val="20"/>
          <w:szCs w:val="20"/>
        </w:rPr>
        <w:t xml:space="preserve">(“Evaluation Team”) </w:t>
      </w:r>
      <w:r w:rsidR="00A23800" w:rsidRPr="00C45EF9">
        <w:rPr>
          <w:sz w:val="20"/>
          <w:szCs w:val="20"/>
        </w:rPr>
        <w:t xml:space="preserve">that may be </w:t>
      </w:r>
      <w:r w:rsidRPr="00C45EF9">
        <w:rPr>
          <w:sz w:val="20"/>
          <w:szCs w:val="20"/>
        </w:rPr>
        <w:t>composed of representatives from OST</w:t>
      </w:r>
      <w:r w:rsidR="00CB08FE">
        <w:rPr>
          <w:sz w:val="20"/>
          <w:szCs w:val="20"/>
        </w:rPr>
        <w:t xml:space="preserve">, </w:t>
      </w:r>
      <w:r w:rsidR="00354640">
        <w:rPr>
          <w:sz w:val="20"/>
          <w:szCs w:val="20"/>
        </w:rPr>
        <w:t xml:space="preserve">the CMPB, </w:t>
      </w:r>
      <w:r w:rsidRPr="00C45EF9">
        <w:rPr>
          <w:sz w:val="20"/>
          <w:szCs w:val="20"/>
        </w:rPr>
        <w:t xml:space="preserve">other State </w:t>
      </w:r>
      <w:r w:rsidR="00354640">
        <w:rPr>
          <w:sz w:val="20"/>
          <w:szCs w:val="20"/>
        </w:rPr>
        <w:t>entities</w:t>
      </w:r>
      <w:r w:rsidR="00CB08FE">
        <w:rPr>
          <w:sz w:val="20"/>
          <w:szCs w:val="20"/>
        </w:rPr>
        <w:t>, and/</w:t>
      </w:r>
      <w:r w:rsidR="00C3648E" w:rsidRPr="00C45EF9">
        <w:rPr>
          <w:sz w:val="20"/>
          <w:szCs w:val="20"/>
        </w:rPr>
        <w:t xml:space="preserve">or </w:t>
      </w:r>
      <w:r w:rsidRPr="00C45EF9">
        <w:rPr>
          <w:sz w:val="20"/>
          <w:szCs w:val="20"/>
        </w:rPr>
        <w:t>the Consultant</w:t>
      </w:r>
      <w:r w:rsidR="00B0269E" w:rsidRPr="00C45EF9">
        <w:rPr>
          <w:sz w:val="20"/>
          <w:szCs w:val="20"/>
        </w:rPr>
        <w:t xml:space="preserve"> </w:t>
      </w:r>
      <w:r w:rsidRPr="00C45EF9">
        <w:rPr>
          <w:sz w:val="20"/>
          <w:szCs w:val="20"/>
        </w:rPr>
        <w:t xml:space="preserve">will evaluate the Vendor proposals on a variety of quantitative and qualitative criteria. Neither the lowest price nor highest scoring proposal </w:t>
      </w:r>
      <w:proofErr w:type="gramStart"/>
      <w:r w:rsidRPr="00C45EF9">
        <w:rPr>
          <w:sz w:val="20"/>
          <w:szCs w:val="20"/>
        </w:rPr>
        <w:t>will necessarily be selected</w:t>
      </w:r>
      <w:proofErr w:type="gramEnd"/>
      <w:r w:rsidRPr="00C45EF9">
        <w:rPr>
          <w:sz w:val="20"/>
          <w:szCs w:val="20"/>
        </w:rPr>
        <w:t xml:space="preserve">. </w:t>
      </w:r>
      <w:r w:rsidR="00C3648E" w:rsidRPr="00C45EF9">
        <w:rPr>
          <w:sz w:val="20"/>
          <w:szCs w:val="20"/>
        </w:rPr>
        <w:t>OST may in its discretion remove or add members of the Evaluation Team.</w:t>
      </w:r>
      <w:r w:rsidR="0022014D">
        <w:rPr>
          <w:sz w:val="20"/>
          <w:szCs w:val="20"/>
        </w:rPr>
        <w:t xml:space="preserve"> </w:t>
      </w:r>
    </w:p>
    <w:p w14:paraId="6E3D9BAD" w14:textId="77777777" w:rsidR="00F870F7" w:rsidRPr="00C45EF9" w:rsidRDefault="00F870F7" w:rsidP="0041397F">
      <w:pPr>
        <w:pStyle w:val="Heading3"/>
      </w:pPr>
      <w:r w:rsidRPr="00C45EF9">
        <w:t>Criteria Weight</w:t>
      </w:r>
    </w:p>
    <w:p w14:paraId="4C8A2FB0" w14:textId="77777777" w:rsidR="007D33EA" w:rsidRDefault="00F870F7" w:rsidP="00B36E61">
      <w:pPr>
        <w:ind w:left="720"/>
        <w:jc w:val="both"/>
        <w:rPr>
          <w:sz w:val="20"/>
          <w:szCs w:val="20"/>
        </w:rPr>
      </w:pPr>
      <w:r w:rsidRPr="00C45EF9">
        <w:rPr>
          <w:sz w:val="20"/>
          <w:szCs w:val="20"/>
        </w:rPr>
        <w:t xml:space="preserve">All proposals shall be evaluated using the same criteria and scoring weights set out in </w:t>
      </w:r>
      <w:r w:rsidR="00D677D8" w:rsidRPr="00C45EF9">
        <w:rPr>
          <w:sz w:val="20"/>
          <w:szCs w:val="20"/>
        </w:rPr>
        <w:t xml:space="preserve">the </w:t>
      </w:r>
      <w:r w:rsidR="002221A2" w:rsidRPr="00C45EF9">
        <w:rPr>
          <w:sz w:val="20"/>
          <w:szCs w:val="20"/>
        </w:rPr>
        <w:t>table below</w:t>
      </w:r>
      <w:r w:rsidR="00C45EF9">
        <w:rPr>
          <w:sz w:val="20"/>
          <w:szCs w:val="20"/>
        </w:rPr>
        <w:t xml:space="preserve">. </w:t>
      </w:r>
    </w:p>
    <w:p w14:paraId="6C5445E1" w14:textId="77777777" w:rsidR="00C06431" w:rsidRDefault="00C06431" w:rsidP="00B36E61">
      <w:pPr>
        <w:ind w:left="720"/>
        <w:jc w:val="both"/>
        <w:rPr>
          <w:sz w:val="20"/>
          <w:szCs w:val="20"/>
        </w:rPr>
      </w:pPr>
    </w:p>
    <w:tbl>
      <w:tblPr>
        <w:tblW w:w="4668" w:type="pct"/>
        <w:tblInd w:w="715" w:type="dxa"/>
        <w:tblLayout w:type="fixed"/>
        <w:tblLook w:val="04A0" w:firstRow="1" w:lastRow="0" w:firstColumn="1" w:lastColumn="0" w:noHBand="0" w:noVBand="1"/>
      </w:tblPr>
      <w:tblGrid>
        <w:gridCol w:w="6209"/>
        <w:gridCol w:w="1170"/>
        <w:gridCol w:w="271"/>
        <w:gridCol w:w="1079"/>
      </w:tblGrid>
      <w:tr w:rsidR="00C06431" w:rsidRPr="00C06431" w14:paraId="3C6C20A6" w14:textId="77777777" w:rsidTr="00972B1E">
        <w:trPr>
          <w:trHeight w:val="360"/>
        </w:trPr>
        <w:tc>
          <w:tcPr>
            <w:tcW w:w="43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809CBDC" w14:textId="77777777" w:rsidR="00C06431" w:rsidRPr="00C06431" w:rsidRDefault="00C06431" w:rsidP="00C06431">
            <w:pPr>
              <w:rPr>
                <w:b/>
                <w:sz w:val="20"/>
                <w:szCs w:val="20"/>
              </w:rPr>
            </w:pPr>
            <w:r w:rsidRPr="00C06431">
              <w:rPr>
                <w:b/>
                <w:sz w:val="20"/>
                <w:szCs w:val="20"/>
              </w:rPr>
              <w:t>Evaluation Criteria</w:t>
            </w:r>
          </w:p>
        </w:tc>
        <w:tc>
          <w:tcPr>
            <w:tcW w:w="6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ADEB255" w14:textId="77777777" w:rsidR="00C06431" w:rsidRPr="00C06431" w:rsidRDefault="00C06431" w:rsidP="00C06431">
            <w:pPr>
              <w:jc w:val="center"/>
              <w:rPr>
                <w:b/>
                <w:sz w:val="20"/>
                <w:szCs w:val="20"/>
              </w:rPr>
            </w:pPr>
            <w:r w:rsidRPr="00C06431">
              <w:rPr>
                <w:b/>
                <w:sz w:val="20"/>
                <w:szCs w:val="20"/>
              </w:rPr>
              <w:t>Point Value</w:t>
            </w:r>
          </w:p>
        </w:tc>
      </w:tr>
      <w:tr w:rsidR="00972B1E" w:rsidRPr="00C06431" w14:paraId="0AEC286A" w14:textId="77777777" w:rsidTr="00972B1E">
        <w:trPr>
          <w:trHeight w:val="360"/>
        </w:trPr>
        <w:tc>
          <w:tcPr>
            <w:tcW w:w="438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2D5BDF" w14:textId="77777777" w:rsidR="00972B1E" w:rsidRPr="00C06431" w:rsidRDefault="00972B1E" w:rsidP="00972B1E">
            <w:pPr>
              <w:rPr>
                <w:b/>
                <w:sz w:val="20"/>
                <w:szCs w:val="20"/>
              </w:rPr>
            </w:pPr>
            <w:r>
              <w:rPr>
                <w:b/>
                <w:sz w:val="20"/>
                <w:szCs w:val="20"/>
              </w:rPr>
              <w:t>Operational &amp; Technical Requirements</w:t>
            </w:r>
          </w:p>
        </w:tc>
        <w:tc>
          <w:tcPr>
            <w:tcW w:w="6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A2C24" w14:textId="77777777" w:rsidR="00972B1E" w:rsidRPr="00CC34E6" w:rsidRDefault="00972B1E" w:rsidP="00972B1E">
            <w:pPr>
              <w:jc w:val="center"/>
              <w:rPr>
                <w:b/>
                <w:sz w:val="20"/>
                <w:szCs w:val="20"/>
              </w:rPr>
            </w:pPr>
            <w:r w:rsidRPr="00CC34E6">
              <w:rPr>
                <w:b/>
                <w:sz w:val="20"/>
                <w:szCs w:val="20"/>
              </w:rPr>
              <w:t>45</w:t>
            </w:r>
          </w:p>
        </w:tc>
      </w:tr>
      <w:tr w:rsidR="00C06431" w:rsidRPr="00C06431" w14:paraId="3A1E9CCE" w14:textId="77777777" w:rsidTr="00972B1E">
        <w:trPr>
          <w:trHeight w:val="1070"/>
        </w:trPr>
        <w:tc>
          <w:tcPr>
            <w:tcW w:w="4382" w:type="pct"/>
            <w:gridSpan w:val="3"/>
            <w:tcBorders>
              <w:top w:val="nil"/>
              <w:left w:val="single" w:sz="4" w:space="0" w:color="auto"/>
              <w:bottom w:val="single" w:sz="4" w:space="0" w:color="auto"/>
              <w:right w:val="single" w:sz="4" w:space="0" w:color="auto"/>
            </w:tcBorders>
            <w:vAlign w:val="center"/>
          </w:tcPr>
          <w:p w14:paraId="20D71AFD" w14:textId="77777777" w:rsidR="00C06431" w:rsidRPr="00C06431" w:rsidRDefault="00C06431" w:rsidP="00972B1E">
            <w:pPr>
              <w:ind w:left="360"/>
              <w:rPr>
                <w:b/>
                <w:sz w:val="20"/>
                <w:szCs w:val="20"/>
              </w:rPr>
            </w:pPr>
            <w:r w:rsidRPr="00C06431">
              <w:rPr>
                <w:b/>
                <w:sz w:val="20"/>
                <w:szCs w:val="20"/>
              </w:rPr>
              <w:t>Operational Requirements</w:t>
            </w:r>
          </w:p>
          <w:p w14:paraId="77332364" w14:textId="77777777" w:rsidR="00C06431" w:rsidRDefault="00C06431" w:rsidP="00B57C4D">
            <w:pPr>
              <w:pStyle w:val="ListParagraph"/>
              <w:numPr>
                <w:ilvl w:val="0"/>
                <w:numId w:val="128"/>
              </w:numPr>
              <w:contextualSpacing/>
              <w:rPr>
                <w:sz w:val="20"/>
                <w:szCs w:val="20"/>
              </w:rPr>
            </w:pPr>
            <w:r w:rsidRPr="00C06431">
              <w:rPr>
                <w:sz w:val="20"/>
                <w:szCs w:val="20"/>
              </w:rPr>
              <w:t>Ability to fulfill requirements of Scope of Services</w:t>
            </w:r>
          </w:p>
          <w:p w14:paraId="7FE1981A" w14:textId="77777777" w:rsidR="002E54F5" w:rsidRPr="00C06431" w:rsidRDefault="002E54F5" w:rsidP="00B57C4D">
            <w:pPr>
              <w:pStyle w:val="ListParagraph"/>
              <w:numPr>
                <w:ilvl w:val="0"/>
                <w:numId w:val="128"/>
              </w:numPr>
              <w:contextualSpacing/>
              <w:rPr>
                <w:sz w:val="20"/>
                <w:szCs w:val="20"/>
              </w:rPr>
            </w:pPr>
            <w:r>
              <w:rPr>
                <w:sz w:val="20"/>
                <w:szCs w:val="20"/>
              </w:rPr>
              <w:t>Bank and branch locations</w:t>
            </w:r>
          </w:p>
          <w:p w14:paraId="0C95297D" w14:textId="77777777" w:rsidR="00C06431" w:rsidRPr="00C06431" w:rsidRDefault="00C06431" w:rsidP="00B57C4D">
            <w:pPr>
              <w:pStyle w:val="ListParagraph"/>
              <w:numPr>
                <w:ilvl w:val="0"/>
                <w:numId w:val="128"/>
              </w:numPr>
              <w:contextualSpacing/>
              <w:rPr>
                <w:sz w:val="20"/>
                <w:szCs w:val="20"/>
              </w:rPr>
            </w:pPr>
            <w:r w:rsidRPr="00C06431">
              <w:rPr>
                <w:sz w:val="20"/>
                <w:szCs w:val="20"/>
              </w:rPr>
              <w:t>Online reporting, reconciliation, and invoicing capabilities</w:t>
            </w:r>
          </w:p>
        </w:tc>
        <w:tc>
          <w:tcPr>
            <w:tcW w:w="618" w:type="pct"/>
            <w:tcBorders>
              <w:top w:val="nil"/>
              <w:left w:val="nil"/>
              <w:bottom w:val="single" w:sz="4" w:space="0" w:color="auto"/>
              <w:right w:val="single" w:sz="4" w:space="0" w:color="auto"/>
            </w:tcBorders>
            <w:noWrap/>
            <w:vAlign w:val="center"/>
          </w:tcPr>
          <w:p w14:paraId="5165669E" w14:textId="77777777" w:rsidR="00C06431" w:rsidRPr="00CC34E6" w:rsidRDefault="00156E51" w:rsidP="00C06431">
            <w:pPr>
              <w:jc w:val="center"/>
              <w:rPr>
                <w:sz w:val="20"/>
                <w:szCs w:val="20"/>
              </w:rPr>
            </w:pPr>
            <w:r>
              <w:rPr>
                <w:sz w:val="20"/>
                <w:szCs w:val="20"/>
              </w:rPr>
              <w:t>35</w:t>
            </w:r>
          </w:p>
        </w:tc>
      </w:tr>
      <w:tr w:rsidR="00C06431" w:rsidRPr="00C06431" w14:paraId="65F1FAE0" w14:textId="77777777" w:rsidTr="00972B1E">
        <w:trPr>
          <w:trHeight w:val="1070"/>
        </w:trPr>
        <w:tc>
          <w:tcPr>
            <w:tcW w:w="4382" w:type="pct"/>
            <w:gridSpan w:val="3"/>
            <w:tcBorders>
              <w:top w:val="nil"/>
              <w:left w:val="single" w:sz="4" w:space="0" w:color="auto"/>
              <w:bottom w:val="single" w:sz="4" w:space="0" w:color="auto"/>
              <w:right w:val="single" w:sz="4" w:space="0" w:color="auto"/>
            </w:tcBorders>
            <w:vAlign w:val="center"/>
          </w:tcPr>
          <w:p w14:paraId="437269C5" w14:textId="77777777" w:rsidR="00C06431" w:rsidRPr="00C06431" w:rsidRDefault="00C06431" w:rsidP="00972B1E">
            <w:pPr>
              <w:ind w:left="360"/>
              <w:rPr>
                <w:b/>
                <w:sz w:val="20"/>
                <w:szCs w:val="20"/>
              </w:rPr>
            </w:pPr>
            <w:r w:rsidRPr="00C06431">
              <w:rPr>
                <w:b/>
                <w:sz w:val="20"/>
                <w:szCs w:val="20"/>
              </w:rPr>
              <w:t>Technical Requirements</w:t>
            </w:r>
          </w:p>
          <w:p w14:paraId="175089BA" w14:textId="77777777" w:rsidR="00C06431" w:rsidRPr="00C06431" w:rsidRDefault="00C06431" w:rsidP="00B57C4D">
            <w:pPr>
              <w:pStyle w:val="ListParagraph"/>
              <w:numPr>
                <w:ilvl w:val="0"/>
                <w:numId w:val="129"/>
              </w:numPr>
              <w:contextualSpacing/>
              <w:rPr>
                <w:sz w:val="20"/>
                <w:szCs w:val="20"/>
              </w:rPr>
            </w:pPr>
            <w:r w:rsidRPr="00C06431">
              <w:rPr>
                <w:sz w:val="20"/>
                <w:szCs w:val="20"/>
              </w:rPr>
              <w:t xml:space="preserve">Data storage and data security capabilities </w:t>
            </w:r>
          </w:p>
          <w:p w14:paraId="07C07246" w14:textId="77777777" w:rsidR="00E50A53" w:rsidRPr="00C06431" w:rsidRDefault="00E50A53" w:rsidP="00B57C4D">
            <w:pPr>
              <w:pStyle w:val="ListParagraph"/>
              <w:numPr>
                <w:ilvl w:val="0"/>
                <w:numId w:val="129"/>
              </w:numPr>
              <w:contextualSpacing/>
              <w:rPr>
                <w:sz w:val="20"/>
                <w:szCs w:val="20"/>
              </w:rPr>
            </w:pPr>
            <w:r>
              <w:rPr>
                <w:sz w:val="20"/>
                <w:szCs w:val="20"/>
              </w:rPr>
              <w:t>Ability to meet DTI’s security guidelines and requirements</w:t>
            </w:r>
          </w:p>
          <w:p w14:paraId="7CECA8C4" w14:textId="77777777" w:rsidR="00C06431" w:rsidRPr="00C06431" w:rsidRDefault="00C06431" w:rsidP="00B57C4D">
            <w:pPr>
              <w:pStyle w:val="ListParagraph"/>
              <w:numPr>
                <w:ilvl w:val="0"/>
                <w:numId w:val="129"/>
              </w:numPr>
              <w:contextualSpacing/>
              <w:rPr>
                <w:sz w:val="20"/>
                <w:szCs w:val="20"/>
              </w:rPr>
            </w:pPr>
            <w:r w:rsidRPr="00C06431">
              <w:rPr>
                <w:sz w:val="20"/>
                <w:szCs w:val="20"/>
              </w:rPr>
              <w:t>Overall technical infrastructure and expertise of personnel</w:t>
            </w:r>
          </w:p>
        </w:tc>
        <w:tc>
          <w:tcPr>
            <w:tcW w:w="618" w:type="pct"/>
            <w:tcBorders>
              <w:top w:val="nil"/>
              <w:left w:val="nil"/>
              <w:bottom w:val="single" w:sz="4" w:space="0" w:color="auto"/>
              <w:right w:val="single" w:sz="4" w:space="0" w:color="auto"/>
            </w:tcBorders>
            <w:noWrap/>
            <w:vAlign w:val="center"/>
          </w:tcPr>
          <w:p w14:paraId="1E135008" w14:textId="77777777" w:rsidR="00C06431" w:rsidRPr="00CC34E6" w:rsidRDefault="00156E51" w:rsidP="00C06431">
            <w:pPr>
              <w:jc w:val="center"/>
              <w:rPr>
                <w:sz w:val="20"/>
                <w:szCs w:val="20"/>
              </w:rPr>
            </w:pPr>
            <w:r>
              <w:rPr>
                <w:sz w:val="20"/>
                <w:szCs w:val="20"/>
              </w:rPr>
              <w:t>10</w:t>
            </w:r>
          </w:p>
        </w:tc>
      </w:tr>
      <w:tr w:rsidR="00972B1E" w:rsidRPr="00972B1E" w14:paraId="4D0C67AE" w14:textId="77777777" w:rsidTr="00972B1E">
        <w:trPr>
          <w:trHeight w:val="360"/>
        </w:trPr>
        <w:tc>
          <w:tcPr>
            <w:tcW w:w="4382" w:type="pct"/>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0F325784" w14:textId="77777777" w:rsidR="00972B1E" w:rsidRPr="00C06431" w:rsidRDefault="00972B1E" w:rsidP="00C06431">
            <w:pPr>
              <w:rPr>
                <w:b/>
                <w:sz w:val="20"/>
                <w:szCs w:val="20"/>
              </w:rPr>
            </w:pPr>
            <w:r>
              <w:rPr>
                <w:b/>
                <w:sz w:val="20"/>
                <w:szCs w:val="20"/>
              </w:rPr>
              <w:t>Implementation &amp; Qualifications</w:t>
            </w:r>
          </w:p>
        </w:tc>
        <w:tc>
          <w:tcPr>
            <w:tcW w:w="618" w:type="pct"/>
            <w:tcBorders>
              <w:top w:val="nil"/>
              <w:left w:val="nil"/>
              <w:bottom w:val="single" w:sz="4" w:space="0" w:color="auto"/>
              <w:right w:val="single" w:sz="4" w:space="0" w:color="auto"/>
            </w:tcBorders>
            <w:shd w:val="clear" w:color="auto" w:fill="F2F2F2" w:themeFill="background1" w:themeFillShade="F2"/>
            <w:noWrap/>
            <w:vAlign w:val="center"/>
          </w:tcPr>
          <w:p w14:paraId="19542B43" w14:textId="77777777" w:rsidR="00972B1E" w:rsidRPr="00CC34E6" w:rsidRDefault="00972B1E" w:rsidP="00972B1E">
            <w:pPr>
              <w:jc w:val="center"/>
              <w:rPr>
                <w:b/>
                <w:sz w:val="20"/>
                <w:szCs w:val="20"/>
              </w:rPr>
            </w:pPr>
            <w:r w:rsidRPr="00CC34E6">
              <w:rPr>
                <w:b/>
                <w:sz w:val="20"/>
                <w:szCs w:val="20"/>
              </w:rPr>
              <w:t>30</w:t>
            </w:r>
          </w:p>
        </w:tc>
      </w:tr>
      <w:tr w:rsidR="00C06431" w:rsidRPr="00C06431" w14:paraId="3F605F75" w14:textId="77777777" w:rsidTr="00972B1E">
        <w:trPr>
          <w:trHeight w:val="1066"/>
        </w:trPr>
        <w:tc>
          <w:tcPr>
            <w:tcW w:w="4382" w:type="pct"/>
            <w:gridSpan w:val="3"/>
            <w:tcBorders>
              <w:top w:val="nil"/>
              <w:left w:val="single" w:sz="4" w:space="0" w:color="auto"/>
              <w:bottom w:val="single" w:sz="4" w:space="0" w:color="auto"/>
              <w:right w:val="single" w:sz="4" w:space="0" w:color="auto"/>
            </w:tcBorders>
            <w:vAlign w:val="center"/>
          </w:tcPr>
          <w:p w14:paraId="6FF25CD8" w14:textId="77777777" w:rsidR="00C06431" w:rsidRPr="00C06431" w:rsidRDefault="00C06431" w:rsidP="00972B1E">
            <w:pPr>
              <w:ind w:left="360"/>
              <w:rPr>
                <w:b/>
                <w:sz w:val="20"/>
                <w:szCs w:val="20"/>
              </w:rPr>
            </w:pPr>
            <w:r w:rsidRPr="00C06431">
              <w:rPr>
                <w:b/>
                <w:sz w:val="20"/>
                <w:szCs w:val="20"/>
              </w:rPr>
              <w:t>Implementation Plan</w:t>
            </w:r>
          </w:p>
          <w:p w14:paraId="3FE0B41E" w14:textId="77777777" w:rsidR="00C06431" w:rsidRPr="00C06431" w:rsidRDefault="00C06431" w:rsidP="00B57C4D">
            <w:pPr>
              <w:pStyle w:val="ListParagraph"/>
              <w:numPr>
                <w:ilvl w:val="0"/>
                <w:numId w:val="130"/>
              </w:numPr>
              <w:contextualSpacing/>
              <w:rPr>
                <w:sz w:val="20"/>
                <w:szCs w:val="20"/>
              </w:rPr>
            </w:pPr>
            <w:r w:rsidRPr="00C06431">
              <w:rPr>
                <w:sz w:val="20"/>
                <w:szCs w:val="20"/>
              </w:rPr>
              <w:t>Quality and scope of implementation plan</w:t>
            </w:r>
          </w:p>
          <w:p w14:paraId="2A6AC13C" w14:textId="77777777" w:rsidR="00C06431" w:rsidRPr="00C06431" w:rsidRDefault="00C06431" w:rsidP="00B57C4D">
            <w:pPr>
              <w:pStyle w:val="ListParagraph"/>
              <w:numPr>
                <w:ilvl w:val="0"/>
                <w:numId w:val="130"/>
              </w:numPr>
              <w:contextualSpacing/>
              <w:rPr>
                <w:sz w:val="20"/>
                <w:szCs w:val="20"/>
              </w:rPr>
            </w:pPr>
            <w:r w:rsidRPr="00C06431">
              <w:rPr>
                <w:sz w:val="20"/>
                <w:szCs w:val="20"/>
              </w:rPr>
              <w:t>Experience, resources, and qualifications of implementation team</w:t>
            </w:r>
          </w:p>
          <w:p w14:paraId="5C83E892" w14:textId="77777777" w:rsidR="00C06431" w:rsidRPr="00C06431" w:rsidRDefault="00C06431" w:rsidP="00B57C4D">
            <w:pPr>
              <w:pStyle w:val="ListParagraph"/>
              <w:numPr>
                <w:ilvl w:val="0"/>
                <w:numId w:val="130"/>
              </w:numPr>
              <w:contextualSpacing/>
              <w:rPr>
                <w:sz w:val="20"/>
                <w:szCs w:val="20"/>
              </w:rPr>
            </w:pPr>
            <w:r w:rsidRPr="00C06431">
              <w:rPr>
                <w:sz w:val="20"/>
                <w:szCs w:val="20"/>
              </w:rPr>
              <w:t>Efficiencies and opportunities identified</w:t>
            </w:r>
          </w:p>
        </w:tc>
        <w:tc>
          <w:tcPr>
            <w:tcW w:w="618" w:type="pct"/>
            <w:tcBorders>
              <w:top w:val="nil"/>
              <w:left w:val="nil"/>
              <w:bottom w:val="single" w:sz="4" w:space="0" w:color="auto"/>
              <w:right w:val="single" w:sz="4" w:space="0" w:color="auto"/>
            </w:tcBorders>
            <w:noWrap/>
            <w:vAlign w:val="center"/>
          </w:tcPr>
          <w:p w14:paraId="4B7E17B5" w14:textId="77777777" w:rsidR="00C06431" w:rsidRPr="00CC34E6" w:rsidRDefault="00CB08FE" w:rsidP="00C06431">
            <w:pPr>
              <w:jc w:val="center"/>
              <w:rPr>
                <w:sz w:val="20"/>
                <w:szCs w:val="20"/>
              </w:rPr>
            </w:pPr>
            <w:r w:rsidRPr="00CC34E6">
              <w:rPr>
                <w:sz w:val="20"/>
                <w:szCs w:val="20"/>
              </w:rPr>
              <w:t>5</w:t>
            </w:r>
          </w:p>
        </w:tc>
      </w:tr>
      <w:tr w:rsidR="00C06431" w:rsidRPr="00C06431" w14:paraId="714841E4" w14:textId="77777777" w:rsidTr="00972B1E">
        <w:trPr>
          <w:trHeight w:val="1066"/>
        </w:trPr>
        <w:tc>
          <w:tcPr>
            <w:tcW w:w="4382" w:type="pct"/>
            <w:gridSpan w:val="3"/>
            <w:tcBorders>
              <w:top w:val="nil"/>
              <w:left w:val="single" w:sz="4" w:space="0" w:color="auto"/>
              <w:bottom w:val="single" w:sz="4" w:space="0" w:color="auto"/>
              <w:right w:val="single" w:sz="4" w:space="0" w:color="auto"/>
            </w:tcBorders>
            <w:vAlign w:val="center"/>
          </w:tcPr>
          <w:p w14:paraId="6F3AEA23" w14:textId="77777777" w:rsidR="00C06431" w:rsidRPr="00C06431" w:rsidRDefault="00C06431" w:rsidP="00972B1E">
            <w:pPr>
              <w:ind w:left="360"/>
              <w:rPr>
                <w:b/>
                <w:sz w:val="20"/>
                <w:szCs w:val="20"/>
              </w:rPr>
            </w:pPr>
            <w:r w:rsidRPr="00C06431">
              <w:rPr>
                <w:b/>
                <w:sz w:val="20"/>
                <w:szCs w:val="20"/>
              </w:rPr>
              <w:t>Overall Experience, Qualifications, and Customer Service</w:t>
            </w:r>
          </w:p>
          <w:p w14:paraId="42352A5D" w14:textId="77777777" w:rsidR="00C06431" w:rsidRPr="00C06431" w:rsidRDefault="00C06431" w:rsidP="00B57C4D">
            <w:pPr>
              <w:pStyle w:val="ListParagraph"/>
              <w:numPr>
                <w:ilvl w:val="0"/>
                <w:numId w:val="131"/>
              </w:numPr>
              <w:contextualSpacing/>
              <w:rPr>
                <w:sz w:val="20"/>
                <w:szCs w:val="20"/>
              </w:rPr>
            </w:pPr>
            <w:r w:rsidRPr="00C06431">
              <w:rPr>
                <w:sz w:val="20"/>
                <w:szCs w:val="20"/>
              </w:rPr>
              <w:t>Relevant experience managing similar account relationships; references</w:t>
            </w:r>
          </w:p>
          <w:p w14:paraId="0CA71020" w14:textId="77777777" w:rsidR="00C06431" w:rsidRPr="00C06431" w:rsidRDefault="00C06431" w:rsidP="00B57C4D">
            <w:pPr>
              <w:pStyle w:val="ListParagraph"/>
              <w:numPr>
                <w:ilvl w:val="0"/>
                <w:numId w:val="131"/>
              </w:numPr>
              <w:contextualSpacing/>
              <w:rPr>
                <w:sz w:val="20"/>
                <w:szCs w:val="20"/>
              </w:rPr>
            </w:pPr>
            <w:r w:rsidRPr="00C06431">
              <w:rPr>
                <w:sz w:val="20"/>
                <w:szCs w:val="20"/>
              </w:rPr>
              <w:t>Relationship management approach (experience, resources, qualifications)</w:t>
            </w:r>
          </w:p>
          <w:p w14:paraId="0022430B" w14:textId="77777777" w:rsidR="00C06431" w:rsidRPr="00C06431" w:rsidRDefault="00C06431" w:rsidP="00B57C4D">
            <w:pPr>
              <w:pStyle w:val="ListParagraph"/>
              <w:numPr>
                <w:ilvl w:val="0"/>
                <w:numId w:val="131"/>
              </w:numPr>
              <w:contextualSpacing/>
              <w:rPr>
                <w:sz w:val="20"/>
                <w:szCs w:val="20"/>
              </w:rPr>
            </w:pPr>
            <w:r w:rsidRPr="00C06431">
              <w:rPr>
                <w:sz w:val="20"/>
                <w:szCs w:val="20"/>
              </w:rPr>
              <w:t>Financial strength of institution, adequacy of controls, insurance, etc.</w:t>
            </w:r>
          </w:p>
        </w:tc>
        <w:tc>
          <w:tcPr>
            <w:tcW w:w="618" w:type="pct"/>
            <w:tcBorders>
              <w:top w:val="nil"/>
              <w:left w:val="nil"/>
              <w:bottom w:val="single" w:sz="4" w:space="0" w:color="auto"/>
              <w:right w:val="single" w:sz="4" w:space="0" w:color="auto"/>
            </w:tcBorders>
            <w:noWrap/>
            <w:vAlign w:val="center"/>
          </w:tcPr>
          <w:p w14:paraId="3D729EF0" w14:textId="77777777" w:rsidR="00C06431" w:rsidRPr="00CC34E6" w:rsidRDefault="00CB08FE" w:rsidP="00C06431">
            <w:pPr>
              <w:jc w:val="center"/>
              <w:rPr>
                <w:sz w:val="20"/>
                <w:szCs w:val="20"/>
              </w:rPr>
            </w:pPr>
            <w:r w:rsidRPr="00CC34E6">
              <w:rPr>
                <w:sz w:val="20"/>
                <w:szCs w:val="20"/>
              </w:rPr>
              <w:t>2</w:t>
            </w:r>
            <w:r w:rsidR="00C06431" w:rsidRPr="00CC34E6">
              <w:rPr>
                <w:sz w:val="20"/>
                <w:szCs w:val="20"/>
              </w:rPr>
              <w:t>5</w:t>
            </w:r>
          </w:p>
        </w:tc>
      </w:tr>
      <w:tr w:rsidR="00C06431" w:rsidRPr="00C06431" w14:paraId="209943F0" w14:textId="77777777" w:rsidTr="00972B1E">
        <w:trPr>
          <w:trHeight w:val="1066"/>
        </w:trPr>
        <w:tc>
          <w:tcPr>
            <w:tcW w:w="4382" w:type="pct"/>
            <w:gridSpan w:val="3"/>
            <w:tcBorders>
              <w:top w:val="nil"/>
              <w:left w:val="single" w:sz="4" w:space="0" w:color="auto"/>
              <w:bottom w:val="single" w:sz="12" w:space="0" w:color="000000"/>
              <w:right w:val="single" w:sz="4" w:space="0" w:color="auto"/>
            </w:tcBorders>
            <w:shd w:val="clear" w:color="auto" w:fill="F2F2F2" w:themeFill="background1" w:themeFillShade="F2"/>
            <w:vAlign w:val="center"/>
          </w:tcPr>
          <w:p w14:paraId="7C14B4D8" w14:textId="77777777" w:rsidR="00C06431" w:rsidRPr="00C06431" w:rsidRDefault="00C06431" w:rsidP="00C06431">
            <w:pPr>
              <w:rPr>
                <w:b/>
                <w:sz w:val="20"/>
                <w:szCs w:val="20"/>
              </w:rPr>
            </w:pPr>
            <w:r w:rsidRPr="00C06431">
              <w:rPr>
                <w:b/>
                <w:sz w:val="20"/>
                <w:szCs w:val="20"/>
              </w:rPr>
              <w:t>Pricing</w:t>
            </w:r>
          </w:p>
          <w:p w14:paraId="416ACDC3" w14:textId="77777777" w:rsidR="00C06431" w:rsidRPr="00C06431" w:rsidRDefault="00C06431" w:rsidP="00B57C4D">
            <w:pPr>
              <w:pStyle w:val="ListParagraph"/>
              <w:numPr>
                <w:ilvl w:val="0"/>
                <w:numId w:val="132"/>
              </w:numPr>
              <w:contextualSpacing/>
              <w:rPr>
                <w:b/>
                <w:sz w:val="20"/>
                <w:szCs w:val="20"/>
              </w:rPr>
            </w:pPr>
            <w:r w:rsidRPr="00C06431">
              <w:rPr>
                <w:sz w:val="20"/>
                <w:szCs w:val="20"/>
              </w:rPr>
              <w:t xml:space="preserve">Overall pricing structure </w:t>
            </w:r>
          </w:p>
          <w:p w14:paraId="39647F17" w14:textId="77777777" w:rsidR="00C06431" w:rsidRPr="00C06431" w:rsidRDefault="00C06431" w:rsidP="00B57C4D">
            <w:pPr>
              <w:pStyle w:val="ListParagraph"/>
              <w:numPr>
                <w:ilvl w:val="0"/>
                <w:numId w:val="132"/>
              </w:numPr>
              <w:contextualSpacing/>
              <w:rPr>
                <w:b/>
                <w:sz w:val="20"/>
                <w:szCs w:val="20"/>
              </w:rPr>
            </w:pPr>
            <w:r w:rsidRPr="00C06431">
              <w:rPr>
                <w:sz w:val="20"/>
                <w:szCs w:val="20"/>
              </w:rPr>
              <w:t>Rate schedules</w:t>
            </w:r>
          </w:p>
          <w:p w14:paraId="5F6C799C" w14:textId="77777777" w:rsidR="00C06431" w:rsidRPr="00C06431" w:rsidRDefault="00C06431" w:rsidP="00B57C4D">
            <w:pPr>
              <w:pStyle w:val="ListParagraph"/>
              <w:numPr>
                <w:ilvl w:val="0"/>
                <w:numId w:val="132"/>
              </w:numPr>
              <w:contextualSpacing/>
              <w:rPr>
                <w:b/>
                <w:sz w:val="20"/>
                <w:szCs w:val="20"/>
              </w:rPr>
            </w:pPr>
            <w:r w:rsidRPr="00C06431">
              <w:rPr>
                <w:sz w:val="20"/>
                <w:szCs w:val="20"/>
              </w:rPr>
              <w:t>Discount schedule</w:t>
            </w:r>
          </w:p>
        </w:tc>
        <w:tc>
          <w:tcPr>
            <w:tcW w:w="618" w:type="pct"/>
            <w:tcBorders>
              <w:top w:val="nil"/>
              <w:left w:val="nil"/>
              <w:bottom w:val="single" w:sz="12" w:space="0" w:color="000000"/>
              <w:right w:val="single" w:sz="4" w:space="0" w:color="auto"/>
            </w:tcBorders>
            <w:shd w:val="clear" w:color="auto" w:fill="F2F2F2" w:themeFill="background1" w:themeFillShade="F2"/>
            <w:noWrap/>
            <w:vAlign w:val="center"/>
          </w:tcPr>
          <w:p w14:paraId="5F8230DC" w14:textId="77777777" w:rsidR="00C06431" w:rsidRPr="00972B1E" w:rsidRDefault="00C06431" w:rsidP="00C06431">
            <w:pPr>
              <w:jc w:val="center"/>
              <w:rPr>
                <w:b/>
                <w:sz w:val="20"/>
                <w:szCs w:val="20"/>
              </w:rPr>
            </w:pPr>
            <w:r w:rsidRPr="00972B1E">
              <w:rPr>
                <w:b/>
                <w:sz w:val="20"/>
                <w:szCs w:val="20"/>
              </w:rPr>
              <w:t>25</w:t>
            </w:r>
          </w:p>
        </w:tc>
      </w:tr>
      <w:tr w:rsidR="00C06431" w:rsidRPr="00C06431" w14:paraId="6BE9F249" w14:textId="77777777" w:rsidTr="00E50A53">
        <w:trPr>
          <w:trHeight w:val="360"/>
        </w:trPr>
        <w:tc>
          <w:tcPr>
            <w:tcW w:w="4382" w:type="pct"/>
            <w:gridSpan w:val="3"/>
            <w:tcBorders>
              <w:top w:val="single" w:sz="12" w:space="0" w:color="000000"/>
              <w:left w:val="single" w:sz="4" w:space="0" w:color="auto"/>
              <w:bottom w:val="single" w:sz="12" w:space="0" w:color="000000"/>
              <w:right w:val="single" w:sz="4" w:space="0" w:color="auto"/>
            </w:tcBorders>
            <w:shd w:val="clear" w:color="auto" w:fill="BFBFBF" w:themeFill="background1" w:themeFillShade="BF"/>
            <w:noWrap/>
            <w:vAlign w:val="center"/>
          </w:tcPr>
          <w:p w14:paraId="32D003C3" w14:textId="77777777" w:rsidR="00C06431" w:rsidRPr="00C06431" w:rsidRDefault="00C06431" w:rsidP="00C06431">
            <w:pPr>
              <w:rPr>
                <w:b/>
                <w:sz w:val="20"/>
                <w:szCs w:val="20"/>
              </w:rPr>
            </w:pPr>
            <w:r w:rsidRPr="00C06431">
              <w:rPr>
                <w:b/>
                <w:sz w:val="20"/>
                <w:szCs w:val="20"/>
              </w:rPr>
              <w:t>TOTAL POINTS</w:t>
            </w:r>
          </w:p>
        </w:tc>
        <w:tc>
          <w:tcPr>
            <w:tcW w:w="618" w:type="pct"/>
            <w:tcBorders>
              <w:top w:val="single" w:sz="12" w:space="0" w:color="000000"/>
              <w:left w:val="nil"/>
              <w:bottom w:val="single" w:sz="12" w:space="0" w:color="000000"/>
              <w:right w:val="single" w:sz="4" w:space="0" w:color="auto"/>
            </w:tcBorders>
            <w:shd w:val="clear" w:color="auto" w:fill="BFBFBF" w:themeFill="background1" w:themeFillShade="BF"/>
            <w:noWrap/>
            <w:vAlign w:val="center"/>
          </w:tcPr>
          <w:p w14:paraId="712D24CE" w14:textId="77777777" w:rsidR="00C06431" w:rsidRPr="00C06431" w:rsidRDefault="00C06431" w:rsidP="00C06431">
            <w:pPr>
              <w:jc w:val="center"/>
              <w:rPr>
                <w:b/>
                <w:sz w:val="20"/>
                <w:szCs w:val="20"/>
              </w:rPr>
            </w:pPr>
            <w:r>
              <w:rPr>
                <w:b/>
                <w:sz w:val="20"/>
                <w:szCs w:val="20"/>
              </w:rPr>
              <w:t>100</w:t>
            </w:r>
          </w:p>
        </w:tc>
      </w:tr>
      <w:tr w:rsidR="002E57A9" w:rsidRPr="00C06431" w14:paraId="60A71044" w14:textId="77777777" w:rsidTr="002E57A9">
        <w:trPr>
          <w:trHeight w:val="360"/>
        </w:trPr>
        <w:tc>
          <w:tcPr>
            <w:tcW w:w="355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noWrap/>
            <w:vAlign w:val="center"/>
            <w:hideMark/>
          </w:tcPr>
          <w:p w14:paraId="0900D9AD" w14:textId="77777777" w:rsidR="002E57A9" w:rsidRPr="00C06431" w:rsidRDefault="002E57A9" w:rsidP="002E57A9">
            <w:pPr>
              <w:rPr>
                <w:b/>
                <w:sz w:val="20"/>
                <w:szCs w:val="20"/>
              </w:rPr>
            </w:pPr>
            <w:r w:rsidRPr="00C06431">
              <w:rPr>
                <w:b/>
                <w:sz w:val="20"/>
                <w:szCs w:val="20"/>
              </w:rPr>
              <w:t>*Compliance with RFP submission requirements</w:t>
            </w:r>
          </w:p>
        </w:tc>
        <w:tc>
          <w:tcPr>
            <w:tcW w:w="670" w:type="pct"/>
            <w:tcBorders>
              <w:top w:val="single" w:sz="12" w:space="0" w:color="000000"/>
              <w:left w:val="nil"/>
              <w:bottom w:val="single" w:sz="4" w:space="0" w:color="auto"/>
              <w:right w:val="single" w:sz="4" w:space="0" w:color="auto"/>
            </w:tcBorders>
            <w:shd w:val="clear" w:color="auto" w:fill="F2F2F2" w:themeFill="background1" w:themeFillShade="F2"/>
            <w:noWrap/>
            <w:vAlign w:val="center"/>
          </w:tcPr>
          <w:p w14:paraId="00AB7EC5" w14:textId="77777777" w:rsidR="002E57A9" w:rsidRPr="00C06431" w:rsidRDefault="00A27D5B" w:rsidP="000F6CA1">
            <w:pPr>
              <w:jc w:val="center"/>
              <w:rPr>
                <w:b/>
                <w:sz w:val="20"/>
                <w:szCs w:val="20"/>
              </w:rPr>
            </w:pPr>
            <w:sdt>
              <w:sdtPr>
                <w:id w:val="179640946"/>
                <w14:checkbox>
                  <w14:checked w14:val="0"/>
                  <w14:checkedState w14:val="2612" w14:font="MS Gothic"/>
                  <w14:uncheckedState w14:val="2610" w14:font="MS Gothic"/>
                </w14:checkbox>
              </w:sdtPr>
              <w:sdtEndPr/>
              <w:sdtContent>
                <w:r w:rsidR="00AF7851">
                  <w:rPr>
                    <w:rFonts w:ascii="MS Gothic" w:eastAsia="MS Gothic" w:hAnsi="MS Gothic" w:hint="eastAsia"/>
                  </w:rPr>
                  <w:t>☐</w:t>
                </w:r>
              </w:sdtContent>
            </w:sdt>
            <w:r w:rsidR="002E57A9">
              <w:t xml:space="preserve"> </w:t>
            </w:r>
            <w:r w:rsidR="002E57A9">
              <w:rPr>
                <w:b/>
                <w:sz w:val="20"/>
                <w:szCs w:val="20"/>
              </w:rPr>
              <w:t>Yes</w:t>
            </w:r>
          </w:p>
        </w:tc>
        <w:tc>
          <w:tcPr>
            <w:tcW w:w="773" w:type="pct"/>
            <w:gridSpan w:val="2"/>
            <w:tcBorders>
              <w:top w:val="single" w:sz="12" w:space="0" w:color="000000"/>
              <w:left w:val="nil"/>
              <w:bottom w:val="single" w:sz="4" w:space="0" w:color="auto"/>
              <w:right w:val="single" w:sz="4" w:space="0" w:color="auto"/>
            </w:tcBorders>
            <w:shd w:val="clear" w:color="auto" w:fill="F2F2F2" w:themeFill="background1" w:themeFillShade="F2"/>
            <w:vAlign w:val="center"/>
          </w:tcPr>
          <w:p w14:paraId="4E2AF287" w14:textId="77777777" w:rsidR="002E57A9" w:rsidRDefault="00A27D5B" w:rsidP="000F6CA1">
            <w:pPr>
              <w:jc w:val="center"/>
              <w:rPr>
                <w:b/>
                <w:sz w:val="20"/>
                <w:szCs w:val="20"/>
              </w:rPr>
            </w:pPr>
            <w:sdt>
              <w:sdtPr>
                <w:id w:val="-887485364"/>
                <w14:checkbox>
                  <w14:checked w14:val="0"/>
                  <w14:checkedState w14:val="2612" w14:font="MS Gothic"/>
                  <w14:uncheckedState w14:val="2610" w14:font="MS Gothic"/>
                </w14:checkbox>
              </w:sdtPr>
              <w:sdtEndPr/>
              <w:sdtContent>
                <w:r w:rsidR="002E57A9">
                  <w:rPr>
                    <w:rFonts w:ascii="MS Gothic" w:eastAsia="MS Gothic" w:hAnsi="MS Gothic" w:hint="eastAsia"/>
                  </w:rPr>
                  <w:t>☐</w:t>
                </w:r>
              </w:sdtContent>
            </w:sdt>
            <w:r w:rsidR="002E57A9">
              <w:t xml:space="preserve"> </w:t>
            </w:r>
            <w:r w:rsidR="002E57A9">
              <w:rPr>
                <w:b/>
                <w:sz w:val="20"/>
                <w:szCs w:val="20"/>
              </w:rPr>
              <w:t>No</w:t>
            </w:r>
          </w:p>
        </w:tc>
      </w:tr>
    </w:tbl>
    <w:p w14:paraId="0427E33D" w14:textId="77777777" w:rsidR="002E57A9" w:rsidRDefault="002E57A9" w:rsidP="00B36E61">
      <w:pPr>
        <w:ind w:left="720"/>
        <w:jc w:val="both"/>
        <w:rPr>
          <w:sz w:val="20"/>
          <w:szCs w:val="20"/>
        </w:rPr>
      </w:pPr>
      <w:r w:rsidRPr="00C45EF9">
        <w:rPr>
          <w:sz w:val="20"/>
          <w:szCs w:val="20"/>
        </w:rPr>
        <w:t xml:space="preserve"> </w:t>
      </w:r>
    </w:p>
    <w:p w14:paraId="0945492B" w14:textId="77777777" w:rsidR="007D33EA" w:rsidRPr="00C45EF9" w:rsidRDefault="009D7361" w:rsidP="00B36E61">
      <w:pPr>
        <w:ind w:left="720"/>
        <w:jc w:val="both"/>
        <w:rPr>
          <w:sz w:val="20"/>
          <w:szCs w:val="20"/>
        </w:rPr>
      </w:pPr>
      <w:r w:rsidRPr="00C45EF9">
        <w:rPr>
          <w:sz w:val="20"/>
          <w:szCs w:val="20"/>
        </w:rPr>
        <w:t>Vendors are encouraged to review the evaluation criteria and to provide responses that address each of the scored items. The Evaluation Team will not be able to mak</w:t>
      </w:r>
      <w:r w:rsidR="00EA2DC6">
        <w:rPr>
          <w:sz w:val="20"/>
          <w:szCs w:val="20"/>
        </w:rPr>
        <w:t>e assumptions about the Vendors’</w:t>
      </w:r>
      <w:r w:rsidRPr="00C45EF9">
        <w:rPr>
          <w:sz w:val="20"/>
          <w:szCs w:val="20"/>
        </w:rPr>
        <w:t xml:space="preserve"> </w:t>
      </w:r>
      <w:proofErr w:type="gramStart"/>
      <w:r w:rsidRPr="00C45EF9">
        <w:rPr>
          <w:sz w:val="20"/>
          <w:szCs w:val="20"/>
        </w:rPr>
        <w:t>capabilities,</w:t>
      </w:r>
      <w:proofErr w:type="gramEnd"/>
      <w:r w:rsidRPr="00C45EF9">
        <w:rPr>
          <w:sz w:val="20"/>
          <w:szCs w:val="20"/>
        </w:rPr>
        <w:t xml:space="preserve"> therefore response</w:t>
      </w:r>
      <w:r w:rsidR="009A067F" w:rsidRPr="00C45EF9">
        <w:rPr>
          <w:sz w:val="20"/>
          <w:szCs w:val="20"/>
        </w:rPr>
        <w:t>s should be detailed and concise within the proposal.</w:t>
      </w:r>
    </w:p>
    <w:p w14:paraId="4214BE54" w14:textId="77777777" w:rsidR="008F3C47" w:rsidRPr="00C45EF9" w:rsidRDefault="008F3C47" w:rsidP="00B36E61">
      <w:pPr>
        <w:ind w:left="720"/>
        <w:jc w:val="both"/>
        <w:rPr>
          <w:sz w:val="20"/>
          <w:szCs w:val="20"/>
        </w:rPr>
      </w:pPr>
    </w:p>
    <w:p w14:paraId="30D66FD6" w14:textId="77777777" w:rsidR="008F3C47" w:rsidRPr="00C45EF9" w:rsidRDefault="008F3C47" w:rsidP="00B36E61">
      <w:pPr>
        <w:ind w:left="720"/>
        <w:jc w:val="both"/>
        <w:rPr>
          <w:sz w:val="20"/>
          <w:szCs w:val="20"/>
        </w:rPr>
      </w:pPr>
      <w:r w:rsidRPr="00C45EF9">
        <w:rPr>
          <w:sz w:val="20"/>
          <w:szCs w:val="20"/>
        </w:rPr>
        <w:t xml:space="preserve">The State has outlined </w:t>
      </w:r>
      <w:r w:rsidR="001C3B77">
        <w:rPr>
          <w:sz w:val="20"/>
          <w:szCs w:val="20"/>
        </w:rPr>
        <w:t>the</w:t>
      </w:r>
      <w:r w:rsidRPr="00C45EF9">
        <w:rPr>
          <w:sz w:val="20"/>
          <w:szCs w:val="20"/>
        </w:rPr>
        <w:t xml:space="preserve"> services it will require from the awarded Vendor</w:t>
      </w:r>
      <w:r w:rsidR="00ED69E4">
        <w:rPr>
          <w:sz w:val="20"/>
          <w:szCs w:val="20"/>
        </w:rPr>
        <w:t>s</w:t>
      </w:r>
      <w:r w:rsidRPr="00C45EF9">
        <w:rPr>
          <w:sz w:val="20"/>
          <w:szCs w:val="20"/>
        </w:rPr>
        <w:t>. However, th</w:t>
      </w:r>
      <w:r w:rsidR="00EA2DC6">
        <w:rPr>
          <w:sz w:val="20"/>
          <w:szCs w:val="20"/>
        </w:rPr>
        <w:t>e State does not want to limit the Vendors'</w:t>
      </w:r>
      <w:r w:rsidRPr="00C45EF9">
        <w:rPr>
          <w:sz w:val="20"/>
          <w:szCs w:val="20"/>
        </w:rPr>
        <w:t xml:space="preserve"> creativity in preparing a proposal. Thus, every </w:t>
      </w:r>
      <w:r w:rsidR="00EA2DC6">
        <w:rPr>
          <w:sz w:val="20"/>
          <w:szCs w:val="20"/>
        </w:rPr>
        <w:t>Vendor</w:t>
      </w:r>
      <w:r w:rsidRPr="00C45EF9">
        <w:rPr>
          <w:sz w:val="20"/>
          <w:szCs w:val="20"/>
        </w:rPr>
        <w:t xml:space="preserve">, in addition to its responses on the major services, may submit material on innovative concepts. In choosing innovative material, the </w:t>
      </w:r>
      <w:r w:rsidR="00EA2DC6">
        <w:rPr>
          <w:sz w:val="20"/>
          <w:szCs w:val="20"/>
        </w:rPr>
        <w:t xml:space="preserve">Vendor </w:t>
      </w:r>
      <w:r w:rsidRPr="00C45EF9">
        <w:rPr>
          <w:sz w:val="20"/>
          <w:szCs w:val="20"/>
        </w:rPr>
        <w:t>should focus on ideas that will help the State and organizations meet the goals of the program.</w:t>
      </w:r>
    </w:p>
    <w:p w14:paraId="2D8D3DFC" w14:textId="77777777" w:rsidR="00052628" w:rsidRPr="00C45EF9" w:rsidRDefault="00052628" w:rsidP="0041397F">
      <w:pPr>
        <w:pStyle w:val="Heading3"/>
      </w:pPr>
      <w:r w:rsidRPr="00C45EF9">
        <w:t>Proposal Clarification</w:t>
      </w:r>
    </w:p>
    <w:p w14:paraId="1E8FACD6" w14:textId="77777777" w:rsidR="009A067F" w:rsidRPr="00C45EF9" w:rsidRDefault="00052628" w:rsidP="00B36E61">
      <w:pPr>
        <w:tabs>
          <w:tab w:val="left" w:pos="1350"/>
        </w:tabs>
        <w:ind w:left="720"/>
        <w:jc w:val="both"/>
        <w:rPr>
          <w:sz w:val="20"/>
          <w:szCs w:val="20"/>
        </w:rPr>
      </w:pPr>
      <w:r w:rsidRPr="00C45EF9">
        <w:rPr>
          <w:sz w:val="20"/>
          <w:szCs w:val="20"/>
        </w:rPr>
        <w:t>The Evaluation Team may c</w:t>
      </w:r>
      <w:r w:rsidR="00405BF7" w:rsidRPr="00C45EF9">
        <w:rPr>
          <w:sz w:val="20"/>
          <w:szCs w:val="20"/>
        </w:rPr>
        <w:t>ommunicate with a</w:t>
      </w:r>
      <w:r w:rsidRPr="00C45EF9">
        <w:rPr>
          <w:sz w:val="20"/>
          <w:szCs w:val="20"/>
        </w:rPr>
        <w:t xml:space="preserve"> </w:t>
      </w:r>
      <w:r w:rsidR="004402D3" w:rsidRPr="00C45EF9">
        <w:rPr>
          <w:sz w:val="20"/>
          <w:szCs w:val="20"/>
        </w:rPr>
        <w:t>V</w:t>
      </w:r>
      <w:r w:rsidRPr="00C45EF9">
        <w:rPr>
          <w:sz w:val="20"/>
          <w:szCs w:val="20"/>
        </w:rPr>
        <w:t xml:space="preserve">endor in order to clarify uncertainties or </w:t>
      </w:r>
      <w:r w:rsidR="00405BF7" w:rsidRPr="00C45EF9">
        <w:rPr>
          <w:sz w:val="20"/>
          <w:szCs w:val="20"/>
        </w:rPr>
        <w:t>gain better understanding of a proposal.</w:t>
      </w:r>
      <w:r w:rsidR="00C47034" w:rsidRPr="00C45EF9">
        <w:rPr>
          <w:sz w:val="20"/>
          <w:szCs w:val="20"/>
        </w:rPr>
        <w:t xml:space="preserve"> </w:t>
      </w:r>
      <w:r w:rsidR="007C733D" w:rsidRPr="00C45EF9">
        <w:rPr>
          <w:sz w:val="20"/>
          <w:szCs w:val="20"/>
        </w:rPr>
        <w:t>The Evaluation Team</w:t>
      </w:r>
      <w:r w:rsidR="00C41E18" w:rsidRPr="00C45EF9">
        <w:rPr>
          <w:sz w:val="20"/>
          <w:szCs w:val="20"/>
        </w:rPr>
        <w:t xml:space="preserve"> </w:t>
      </w:r>
      <w:r w:rsidR="007C733D" w:rsidRPr="00C45EF9">
        <w:rPr>
          <w:sz w:val="20"/>
          <w:szCs w:val="20"/>
        </w:rPr>
        <w:t xml:space="preserve">may </w:t>
      </w:r>
      <w:r w:rsidR="006D2677" w:rsidRPr="00C45EF9">
        <w:rPr>
          <w:sz w:val="20"/>
          <w:szCs w:val="20"/>
        </w:rPr>
        <w:t xml:space="preserve">require or </w:t>
      </w:r>
      <w:r w:rsidR="007C733D" w:rsidRPr="00C45EF9">
        <w:rPr>
          <w:sz w:val="20"/>
          <w:szCs w:val="20"/>
        </w:rPr>
        <w:t>permit Vendors to</w:t>
      </w:r>
      <w:r w:rsidR="00405BF7" w:rsidRPr="00C45EF9">
        <w:rPr>
          <w:sz w:val="20"/>
          <w:szCs w:val="20"/>
        </w:rPr>
        <w:t xml:space="preserve"> </w:t>
      </w:r>
      <w:r w:rsidRPr="00C45EF9">
        <w:rPr>
          <w:sz w:val="20"/>
          <w:szCs w:val="20"/>
        </w:rPr>
        <w:t>modif</w:t>
      </w:r>
      <w:r w:rsidR="00405BF7" w:rsidRPr="00C45EF9">
        <w:rPr>
          <w:sz w:val="20"/>
          <w:szCs w:val="20"/>
        </w:rPr>
        <w:t xml:space="preserve">y </w:t>
      </w:r>
      <w:r w:rsidR="007C733D" w:rsidRPr="00C45EF9">
        <w:rPr>
          <w:sz w:val="20"/>
          <w:szCs w:val="20"/>
        </w:rPr>
        <w:t xml:space="preserve">or supplement their </w:t>
      </w:r>
      <w:r w:rsidR="00405BF7" w:rsidRPr="00C45EF9">
        <w:rPr>
          <w:sz w:val="20"/>
          <w:szCs w:val="20"/>
        </w:rPr>
        <w:t xml:space="preserve">proposals </w:t>
      </w:r>
      <w:proofErr w:type="gramStart"/>
      <w:r w:rsidRPr="00C45EF9">
        <w:rPr>
          <w:sz w:val="20"/>
          <w:szCs w:val="20"/>
        </w:rPr>
        <w:t>as a result</w:t>
      </w:r>
      <w:proofErr w:type="gramEnd"/>
      <w:r w:rsidRPr="00C45EF9">
        <w:rPr>
          <w:sz w:val="20"/>
          <w:szCs w:val="20"/>
        </w:rPr>
        <w:t xml:space="preserve"> of such </w:t>
      </w:r>
      <w:r w:rsidR="00405BF7" w:rsidRPr="00C45EF9">
        <w:rPr>
          <w:sz w:val="20"/>
          <w:szCs w:val="20"/>
        </w:rPr>
        <w:t>communication</w:t>
      </w:r>
      <w:r w:rsidR="007C733D" w:rsidRPr="00C45EF9">
        <w:rPr>
          <w:sz w:val="20"/>
          <w:szCs w:val="20"/>
        </w:rPr>
        <w:t>.</w:t>
      </w:r>
      <w:r w:rsidR="00405BF7" w:rsidRPr="00C45EF9">
        <w:rPr>
          <w:sz w:val="20"/>
          <w:szCs w:val="20"/>
        </w:rPr>
        <w:t xml:space="preserve"> </w:t>
      </w:r>
      <w:r w:rsidR="007C733D" w:rsidRPr="00C45EF9">
        <w:rPr>
          <w:sz w:val="20"/>
          <w:szCs w:val="20"/>
        </w:rPr>
        <w:t xml:space="preserve">Vendors </w:t>
      </w:r>
      <w:r w:rsidR="00405BF7" w:rsidRPr="00C45EF9">
        <w:rPr>
          <w:sz w:val="20"/>
          <w:szCs w:val="20"/>
        </w:rPr>
        <w:t xml:space="preserve">must provide </w:t>
      </w:r>
      <w:r w:rsidR="007C733D" w:rsidRPr="00C45EF9">
        <w:rPr>
          <w:sz w:val="20"/>
          <w:szCs w:val="20"/>
        </w:rPr>
        <w:t xml:space="preserve">all </w:t>
      </w:r>
      <w:r w:rsidR="00405BF7" w:rsidRPr="00C45EF9">
        <w:rPr>
          <w:sz w:val="20"/>
          <w:szCs w:val="20"/>
        </w:rPr>
        <w:t>requested information in a timely manner</w:t>
      </w:r>
      <w:r w:rsidR="007C733D" w:rsidRPr="00C45EF9">
        <w:rPr>
          <w:sz w:val="20"/>
          <w:szCs w:val="20"/>
        </w:rPr>
        <w:t>, which shall mean on or before any deadline established by the Evaluation Team</w:t>
      </w:r>
      <w:r w:rsidRPr="00C45EF9">
        <w:rPr>
          <w:sz w:val="20"/>
          <w:szCs w:val="20"/>
        </w:rPr>
        <w:t>.</w:t>
      </w:r>
    </w:p>
    <w:p w14:paraId="08E661BE" w14:textId="77777777" w:rsidR="00052628" w:rsidRPr="00C45EF9" w:rsidRDefault="007C733D" w:rsidP="0041397F">
      <w:pPr>
        <w:pStyle w:val="Heading3"/>
      </w:pPr>
      <w:r w:rsidRPr="00C45EF9">
        <w:t xml:space="preserve">Communication with </w:t>
      </w:r>
      <w:r w:rsidR="00052628" w:rsidRPr="00C45EF9">
        <w:t>References</w:t>
      </w:r>
      <w:r w:rsidRPr="00C45EF9">
        <w:t xml:space="preserve"> and Past or Present Clients</w:t>
      </w:r>
    </w:p>
    <w:p w14:paraId="09405AE4" w14:textId="77777777" w:rsidR="000C4ED2" w:rsidRPr="00C45EF9" w:rsidRDefault="00052628" w:rsidP="00B36E61">
      <w:pPr>
        <w:tabs>
          <w:tab w:val="left" w:pos="1350"/>
        </w:tabs>
        <w:ind w:left="720"/>
        <w:jc w:val="both"/>
        <w:rPr>
          <w:sz w:val="20"/>
          <w:szCs w:val="20"/>
        </w:rPr>
      </w:pPr>
      <w:r w:rsidRPr="00C45EF9">
        <w:rPr>
          <w:sz w:val="20"/>
          <w:szCs w:val="20"/>
        </w:rPr>
        <w:t xml:space="preserve">The Evaluation Team </w:t>
      </w:r>
      <w:r w:rsidR="00036BC1" w:rsidRPr="00C45EF9">
        <w:rPr>
          <w:sz w:val="20"/>
          <w:szCs w:val="20"/>
        </w:rPr>
        <w:t>may</w:t>
      </w:r>
      <w:r w:rsidR="00405BF7" w:rsidRPr="00C45EF9">
        <w:rPr>
          <w:sz w:val="20"/>
          <w:szCs w:val="20"/>
        </w:rPr>
        <w:t xml:space="preserve"> communicate with all references provided by a </w:t>
      </w:r>
      <w:r w:rsidR="004402D3" w:rsidRPr="00C45EF9">
        <w:rPr>
          <w:sz w:val="20"/>
          <w:szCs w:val="20"/>
        </w:rPr>
        <w:t>V</w:t>
      </w:r>
      <w:r w:rsidR="00405BF7" w:rsidRPr="00C45EF9">
        <w:rPr>
          <w:sz w:val="20"/>
          <w:szCs w:val="20"/>
        </w:rPr>
        <w:t>endor, and may use information gained</w:t>
      </w:r>
      <w:r w:rsidR="00036BC1" w:rsidRPr="00C45EF9">
        <w:rPr>
          <w:sz w:val="20"/>
          <w:szCs w:val="20"/>
        </w:rPr>
        <w:t xml:space="preserve"> thereby</w:t>
      </w:r>
      <w:r w:rsidR="00405BF7" w:rsidRPr="00C45EF9">
        <w:rPr>
          <w:sz w:val="20"/>
          <w:szCs w:val="20"/>
        </w:rPr>
        <w:t xml:space="preserve"> in the evaluation process. </w:t>
      </w:r>
      <w:r w:rsidR="00036BC1" w:rsidRPr="00C45EF9">
        <w:rPr>
          <w:sz w:val="20"/>
          <w:szCs w:val="20"/>
        </w:rPr>
        <w:t>In addition</w:t>
      </w:r>
      <w:r w:rsidR="00405BF7" w:rsidRPr="00C45EF9">
        <w:rPr>
          <w:sz w:val="20"/>
          <w:szCs w:val="20"/>
        </w:rPr>
        <w:t xml:space="preserve">, the Evaluation Team </w:t>
      </w:r>
      <w:r w:rsidRPr="00C45EF9">
        <w:rPr>
          <w:sz w:val="20"/>
          <w:szCs w:val="20"/>
        </w:rPr>
        <w:t>may co</w:t>
      </w:r>
      <w:r w:rsidR="00405BF7" w:rsidRPr="00C45EF9">
        <w:rPr>
          <w:sz w:val="20"/>
          <w:szCs w:val="20"/>
        </w:rPr>
        <w:t xml:space="preserve">mmunicate with any known </w:t>
      </w:r>
      <w:r w:rsidR="007C733D" w:rsidRPr="00C45EF9">
        <w:rPr>
          <w:sz w:val="20"/>
          <w:szCs w:val="20"/>
        </w:rPr>
        <w:t xml:space="preserve">past or present </w:t>
      </w:r>
      <w:r w:rsidR="00405BF7" w:rsidRPr="00C45EF9">
        <w:rPr>
          <w:sz w:val="20"/>
          <w:szCs w:val="20"/>
        </w:rPr>
        <w:t xml:space="preserve">client of a </w:t>
      </w:r>
      <w:r w:rsidR="004402D3" w:rsidRPr="00C45EF9">
        <w:rPr>
          <w:sz w:val="20"/>
          <w:szCs w:val="20"/>
        </w:rPr>
        <w:t>V</w:t>
      </w:r>
      <w:r w:rsidR="00405BF7" w:rsidRPr="00C45EF9">
        <w:rPr>
          <w:sz w:val="20"/>
          <w:szCs w:val="20"/>
        </w:rPr>
        <w:t xml:space="preserve">endor outside of the reference list, </w:t>
      </w:r>
      <w:r w:rsidRPr="00C45EF9">
        <w:rPr>
          <w:sz w:val="20"/>
          <w:szCs w:val="20"/>
        </w:rPr>
        <w:t xml:space="preserve">and </w:t>
      </w:r>
      <w:r w:rsidR="00405BF7" w:rsidRPr="00C45EF9">
        <w:rPr>
          <w:sz w:val="20"/>
          <w:szCs w:val="20"/>
        </w:rPr>
        <w:t xml:space="preserve">any information gained </w:t>
      </w:r>
      <w:proofErr w:type="gramStart"/>
      <w:r w:rsidR="00405BF7" w:rsidRPr="00C45EF9">
        <w:rPr>
          <w:sz w:val="20"/>
          <w:szCs w:val="20"/>
        </w:rPr>
        <w:t>may be used</w:t>
      </w:r>
      <w:proofErr w:type="gramEnd"/>
      <w:r w:rsidR="00405BF7" w:rsidRPr="00C45EF9">
        <w:rPr>
          <w:sz w:val="20"/>
          <w:szCs w:val="20"/>
        </w:rPr>
        <w:t xml:space="preserve"> in </w:t>
      </w:r>
      <w:r w:rsidRPr="00C45EF9">
        <w:rPr>
          <w:sz w:val="20"/>
          <w:szCs w:val="20"/>
        </w:rPr>
        <w:t xml:space="preserve">the evaluation process. </w:t>
      </w:r>
      <w:r w:rsidR="007C733D" w:rsidRPr="00C45EF9">
        <w:rPr>
          <w:color w:val="000000" w:themeColor="text1"/>
          <w:sz w:val="20"/>
          <w:szCs w:val="20"/>
        </w:rPr>
        <w:t xml:space="preserve">Vendors that submit a proposal in response to this RFP shall be deemed to have (a) waived any confidentially or other restrictions that may limit in any way a reference or client’s ability to convey information relevant to the evaluation process and (b) to all such communications with references or clients.  </w:t>
      </w:r>
    </w:p>
    <w:p w14:paraId="04EB9E65" w14:textId="77777777" w:rsidR="00052628" w:rsidRPr="00C45EF9" w:rsidRDefault="00052628" w:rsidP="0041397F">
      <w:pPr>
        <w:pStyle w:val="Heading3"/>
      </w:pPr>
      <w:r w:rsidRPr="00C45EF9">
        <w:t>Oral Presentations</w:t>
      </w:r>
    </w:p>
    <w:p w14:paraId="5E2839B1" w14:textId="576909C6" w:rsidR="0045646F" w:rsidRPr="0045646F" w:rsidRDefault="00833F5E" w:rsidP="00B36E61">
      <w:pPr>
        <w:tabs>
          <w:tab w:val="left" w:pos="1350"/>
        </w:tabs>
        <w:ind w:left="720"/>
        <w:jc w:val="both"/>
        <w:rPr>
          <w:sz w:val="20"/>
          <w:szCs w:val="20"/>
        </w:rPr>
      </w:pPr>
      <w:r w:rsidRPr="00C45EF9">
        <w:rPr>
          <w:sz w:val="20"/>
          <w:szCs w:val="20"/>
        </w:rPr>
        <w:t>The Evaluation Team</w:t>
      </w:r>
      <w:r w:rsidR="0047614F" w:rsidRPr="00C45EF9">
        <w:rPr>
          <w:sz w:val="20"/>
          <w:szCs w:val="20"/>
        </w:rPr>
        <w:t xml:space="preserve"> </w:t>
      </w:r>
      <w:r w:rsidRPr="00C45EF9">
        <w:rPr>
          <w:sz w:val="20"/>
          <w:szCs w:val="20"/>
        </w:rPr>
        <w:t>may invite s</w:t>
      </w:r>
      <w:r w:rsidR="00405BF7" w:rsidRPr="00C45EF9">
        <w:rPr>
          <w:sz w:val="20"/>
          <w:szCs w:val="20"/>
        </w:rPr>
        <w:t xml:space="preserve">elected </w:t>
      </w:r>
      <w:r w:rsidR="004402D3" w:rsidRPr="00C45EF9">
        <w:rPr>
          <w:sz w:val="20"/>
          <w:szCs w:val="20"/>
        </w:rPr>
        <w:t>V</w:t>
      </w:r>
      <w:r w:rsidR="00405BF7" w:rsidRPr="00C45EF9">
        <w:rPr>
          <w:sz w:val="20"/>
          <w:szCs w:val="20"/>
        </w:rPr>
        <w:t xml:space="preserve">endors to make in-person oral presentations to the </w:t>
      </w:r>
      <w:r w:rsidR="00052628" w:rsidRPr="00C45EF9">
        <w:rPr>
          <w:sz w:val="20"/>
          <w:szCs w:val="20"/>
        </w:rPr>
        <w:t>Evaluation Tea</w:t>
      </w:r>
      <w:r w:rsidR="00C47034" w:rsidRPr="00C45EF9">
        <w:rPr>
          <w:sz w:val="20"/>
          <w:szCs w:val="20"/>
        </w:rPr>
        <w:t xml:space="preserve">m. </w:t>
      </w:r>
      <w:r w:rsidR="00161351" w:rsidRPr="00C45EF9">
        <w:rPr>
          <w:sz w:val="20"/>
          <w:szCs w:val="20"/>
        </w:rPr>
        <w:t xml:space="preserve">Presentations </w:t>
      </w:r>
      <w:proofErr w:type="gramStart"/>
      <w:r w:rsidR="00161351" w:rsidRPr="00C45EF9">
        <w:rPr>
          <w:sz w:val="20"/>
          <w:szCs w:val="20"/>
        </w:rPr>
        <w:t>are tentatively scheduled</w:t>
      </w:r>
      <w:proofErr w:type="gramEnd"/>
      <w:r w:rsidR="00161351" w:rsidRPr="00C45EF9">
        <w:rPr>
          <w:sz w:val="20"/>
          <w:szCs w:val="20"/>
        </w:rPr>
        <w:t xml:space="preserve"> for the week of </w:t>
      </w:r>
      <w:r w:rsidR="00474A16">
        <w:rPr>
          <w:sz w:val="20"/>
          <w:szCs w:val="20"/>
        </w:rPr>
        <w:t>April 29</w:t>
      </w:r>
      <w:r w:rsidR="00AB3F4B" w:rsidRPr="00CC34E6">
        <w:rPr>
          <w:sz w:val="20"/>
          <w:szCs w:val="20"/>
        </w:rPr>
        <w:t>, 2019</w:t>
      </w:r>
      <w:r w:rsidR="00161351" w:rsidRPr="00C45EF9">
        <w:rPr>
          <w:sz w:val="20"/>
          <w:szCs w:val="20"/>
        </w:rPr>
        <w:t>.</w:t>
      </w:r>
      <w:r w:rsidR="00A97C16">
        <w:rPr>
          <w:sz w:val="20"/>
          <w:szCs w:val="20"/>
        </w:rPr>
        <w:t xml:space="preserve"> </w:t>
      </w:r>
      <w:r w:rsidR="00405BF7" w:rsidRPr="00C45EF9">
        <w:rPr>
          <w:i/>
          <w:sz w:val="20"/>
          <w:szCs w:val="20"/>
        </w:rPr>
        <w:t xml:space="preserve">Any costs associated with oral presentations will be borne by the </w:t>
      </w:r>
      <w:r w:rsidR="004402D3" w:rsidRPr="00C45EF9">
        <w:rPr>
          <w:i/>
          <w:sz w:val="20"/>
          <w:szCs w:val="20"/>
        </w:rPr>
        <w:t>V</w:t>
      </w:r>
      <w:r w:rsidR="00405BF7" w:rsidRPr="00C45EF9">
        <w:rPr>
          <w:i/>
          <w:sz w:val="20"/>
          <w:szCs w:val="20"/>
        </w:rPr>
        <w:t>endor.</w:t>
      </w:r>
      <w:r w:rsidR="0001773D">
        <w:rPr>
          <w:i/>
          <w:sz w:val="20"/>
          <w:szCs w:val="20"/>
        </w:rPr>
        <w:t xml:space="preserve"> </w:t>
      </w:r>
      <w:r w:rsidR="0045646F">
        <w:rPr>
          <w:sz w:val="20"/>
          <w:szCs w:val="20"/>
        </w:rPr>
        <w:t xml:space="preserve">The State </w:t>
      </w:r>
      <w:r w:rsidR="00F30FE7">
        <w:rPr>
          <w:sz w:val="20"/>
          <w:szCs w:val="20"/>
        </w:rPr>
        <w:t xml:space="preserve">requests </w:t>
      </w:r>
      <w:r w:rsidR="0001773D">
        <w:rPr>
          <w:sz w:val="20"/>
          <w:szCs w:val="20"/>
        </w:rPr>
        <w:t>that</w:t>
      </w:r>
      <w:r w:rsidR="0045646F">
        <w:rPr>
          <w:sz w:val="20"/>
          <w:szCs w:val="20"/>
        </w:rPr>
        <w:t xml:space="preserve"> </w:t>
      </w:r>
      <w:r w:rsidR="00F30FE7">
        <w:rPr>
          <w:sz w:val="20"/>
          <w:szCs w:val="20"/>
        </w:rPr>
        <w:t xml:space="preserve">the </w:t>
      </w:r>
      <w:r w:rsidR="0045646F">
        <w:rPr>
          <w:sz w:val="20"/>
          <w:szCs w:val="20"/>
        </w:rPr>
        <w:t xml:space="preserve">individuals who will be working </w:t>
      </w:r>
      <w:r w:rsidR="00AC1C73">
        <w:rPr>
          <w:sz w:val="20"/>
          <w:szCs w:val="20"/>
        </w:rPr>
        <w:t xml:space="preserve">directly </w:t>
      </w:r>
      <w:proofErr w:type="gramStart"/>
      <w:r w:rsidR="00AC1C73">
        <w:rPr>
          <w:sz w:val="20"/>
          <w:szCs w:val="20"/>
        </w:rPr>
        <w:t>with the State</w:t>
      </w:r>
      <w:r w:rsidR="0001773D">
        <w:rPr>
          <w:sz w:val="20"/>
          <w:szCs w:val="20"/>
        </w:rPr>
        <w:t xml:space="preserve"> to either provide</w:t>
      </w:r>
      <w:r w:rsidR="00AC1C73">
        <w:rPr>
          <w:sz w:val="20"/>
          <w:szCs w:val="20"/>
        </w:rPr>
        <w:t xml:space="preserve"> or implement</w:t>
      </w:r>
      <w:r w:rsidR="0001773D">
        <w:rPr>
          <w:sz w:val="20"/>
          <w:szCs w:val="20"/>
        </w:rPr>
        <w:t xml:space="preserve"> the service</w:t>
      </w:r>
      <w:r w:rsidR="00AC1C73">
        <w:rPr>
          <w:sz w:val="20"/>
          <w:szCs w:val="20"/>
        </w:rPr>
        <w:t>(s)</w:t>
      </w:r>
      <w:proofErr w:type="gramEnd"/>
      <w:r w:rsidR="00F30FE7">
        <w:rPr>
          <w:sz w:val="20"/>
          <w:szCs w:val="20"/>
        </w:rPr>
        <w:t xml:space="preserve"> will be in attendance.</w:t>
      </w:r>
      <w:r w:rsidR="0045646F">
        <w:rPr>
          <w:sz w:val="20"/>
          <w:szCs w:val="20"/>
        </w:rPr>
        <w:t xml:space="preserve"> </w:t>
      </w:r>
    </w:p>
    <w:p w14:paraId="483A338F" w14:textId="77777777" w:rsidR="00052628" w:rsidRPr="00C45EF9" w:rsidRDefault="00052628" w:rsidP="0041397F">
      <w:pPr>
        <w:pStyle w:val="Heading3"/>
      </w:pPr>
      <w:r w:rsidRPr="00C45EF9">
        <w:t>On-site Visits</w:t>
      </w:r>
    </w:p>
    <w:p w14:paraId="7BD8E33E" w14:textId="77777777" w:rsidR="00CE35DF" w:rsidRPr="00C45EF9" w:rsidRDefault="00052628" w:rsidP="00B36E61">
      <w:pPr>
        <w:tabs>
          <w:tab w:val="left" w:pos="1260"/>
          <w:tab w:val="left" w:pos="1440"/>
        </w:tabs>
        <w:ind w:left="720"/>
        <w:jc w:val="both"/>
        <w:rPr>
          <w:color w:val="000000" w:themeColor="text1"/>
          <w:sz w:val="20"/>
          <w:szCs w:val="20"/>
        </w:rPr>
      </w:pPr>
      <w:r w:rsidRPr="00C45EF9">
        <w:rPr>
          <w:sz w:val="20"/>
          <w:szCs w:val="20"/>
        </w:rPr>
        <w:t>The Evaluation Team</w:t>
      </w:r>
      <w:r w:rsidR="0047614F" w:rsidRPr="00C45EF9">
        <w:rPr>
          <w:sz w:val="20"/>
          <w:szCs w:val="20"/>
        </w:rPr>
        <w:t xml:space="preserve"> </w:t>
      </w:r>
      <w:r w:rsidR="00D35666" w:rsidRPr="00C45EF9">
        <w:rPr>
          <w:sz w:val="20"/>
          <w:szCs w:val="20"/>
        </w:rPr>
        <w:t>may</w:t>
      </w:r>
      <w:r w:rsidR="00405BF7" w:rsidRPr="00C45EF9">
        <w:rPr>
          <w:sz w:val="20"/>
          <w:szCs w:val="20"/>
        </w:rPr>
        <w:t xml:space="preserve"> make</w:t>
      </w:r>
      <w:r w:rsidR="00D35666" w:rsidRPr="00C45EF9">
        <w:rPr>
          <w:sz w:val="20"/>
          <w:szCs w:val="20"/>
        </w:rPr>
        <w:t xml:space="preserve"> </w:t>
      </w:r>
      <w:r w:rsidRPr="00C45EF9">
        <w:rPr>
          <w:sz w:val="20"/>
          <w:szCs w:val="20"/>
        </w:rPr>
        <w:t>site</w:t>
      </w:r>
      <w:r w:rsidR="00D35666" w:rsidRPr="00C45EF9">
        <w:rPr>
          <w:sz w:val="20"/>
          <w:szCs w:val="20"/>
        </w:rPr>
        <w:t xml:space="preserve"> visits to key </w:t>
      </w:r>
      <w:r w:rsidR="004402D3" w:rsidRPr="00C45EF9">
        <w:rPr>
          <w:sz w:val="20"/>
          <w:szCs w:val="20"/>
        </w:rPr>
        <w:t>V</w:t>
      </w:r>
      <w:r w:rsidR="00D35666" w:rsidRPr="00C45EF9">
        <w:rPr>
          <w:sz w:val="20"/>
          <w:szCs w:val="20"/>
        </w:rPr>
        <w:t>endor processing and/or administrative facilities as part of the evaluation process.</w:t>
      </w:r>
      <w:r w:rsidR="00C47034" w:rsidRPr="00C45EF9">
        <w:rPr>
          <w:sz w:val="20"/>
          <w:szCs w:val="20"/>
        </w:rPr>
        <w:t xml:space="preserve"> </w:t>
      </w:r>
      <w:r w:rsidR="00405BF7" w:rsidRPr="00C45EF9">
        <w:rPr>
          <w:i/>
          <w:sz w:val="20"/>
          <w:szCs w:val="20"/>
        </w:rPr>
        <w:t>Any costs associated with site visits will be borne by the State</w:t>
      </w:r>
      <w:r w:rsidR="00CE35DF" w:rsidRPr="00C45EF9">
        <w:rPr>
          <w:i/>
          <w:sz w:val="20"/>
          <w:szCs w:val="20"/>
        </w:rPr>
        <w:t>.</w:t>
      </w:r>
      <w:r w:rsidR="00D51AD5" w:rsidRPr="00C45EF9">
        <w:rPr>
          <w:i/>
          <w:sz w:val="20"/>
          <w:szCs w:val="20"/>
        </w:rPr>
        <w:t xml:space="preserve">  </w:t>
      </w:r>
      <w:r w:rsidR="00D51AD5" w:rsidRPr="00C45EF9">
        <w:rPr>
          <w:color w:val="000000" w:themeColor="text1"/>
          <w:sz w:val="20"/>
          <w:szCs w:val="20"/>
        </w:rPr>
        <w:t xml:space="preserve">Vendors that submit a proposal in response to this RFP </w:t>
      </w:r>
      <w:proofErr w:type="gramStart"/>
      <w:r w:rsidR="00D51AD5" w:rsidRPr="00C45EF9">
        <w:rPr>
          <w:color w:val="000000" w:themeColor="text1"/>
          <w:sz w:val="20"/>
          <w:szCs w:val="20"/>
        </w:rPr>
        <w:t>shall be deemed</w:t>
      </w:r>
      <w:proofErr w:type="gramEnd"/>
      <w:r w:rsidR="00D51AD5" w:rsidRPr="00C45EF9">
        <w:rPr>
          <w:color w:val="000000" w:themeColor="text1"/>
          <w:sz w:val="20"/>
          <w:szCs w:val="20"/>
        </w:rPr>
        <w:t xml:space="preserve"> to have consented to any such site visit.</w:t>
      </w:r>
    </w:p>
    <w:p w14:paraId="4A92A9C0" w14:textId="77777777" w:rsidR="00AF7851" w:rsidRPr="00C45EF9" w:rsidRDefault="00AF7851" w:rsidP="00793FB4">
      <w:pPr>
        <w:ind w:left="1080"/>
        <w:jc w:val="both"/>
        <w:rPr>
          <w:sz w:val="20"/>
          <w:szCs w:val="20"/>
        </w:rPr>
      </w:pPr>
    </w:p>
    <w:p w14:paraId="7786F7B3" w14:textId="77777777" w:rsidR="00B65A59" w:rsidRPr="00C164AC" w:rsidRDefault="00B65A59" w:rsidP="006D4383">
      <w:pPr>
        <w:pStyle w:val="Heading1"/>
      </w:pPr>
      <w:r w:rsidRPr="00C164AC">
        <w:t>Contract Process</w:t>
      </w:r>
    </w:p>
    <w:p w14:paraId="0FD97CC6" w14:textId="77777777" w:rsidR="00B65A59" w:rsidRPr="005E42E5" w:rsidRDefault="00B65A59" w:rsidP="00B57C4D">
      <w:pPr>
        <w:pStyle w:val="Heading2"/>
        <w:numPr>
          <w:ilvl w:val="1"/>
          <w:numId w:val="109"/>
        </w:numPr>
        <w:tabs>
          <w:tab w:val="clear" w:pos="2880"/>
        </w:tabs>
        <w:ind w:left="360"/>
      </w:pPr>
      <w:r w:rsidRPr="005E42E5">
        <w:t>Formal Contract</w:t>
      </w:r>
    </w:p>
    <w:p w14:paraId="25947D64" w14:textId="1FAB3B48" w:rsidR="00E86839" w:rsidRPr="00F518FA" w:rsidRDefault="00B65A59" w:rsidP="00B36E61">
      <w:pPr>
        <w:ind w:left="360"/>
        <w:jc w:val="both"/>
        <w:rPr>
          <w:sz w:val="20"/>
          <w:szCs w:val="20"/>
        </w:rPr>
      </w:pPr>
      <w:r w:rsidRPr="00F518FA">
        <w:rPr>
          <w:sz w:val="20"/>
          <w:szCs w:val="20"/>
        </w:rPr>
        <w:t xml:space="preserve">Vendors </w:t>
      </w:r>
      <w:r w:rsidR="005D0860" w:rsidRPr="00F518FA">
        <w:rPr>
          <w:sz w:val="20"/>
          <w:szCs w:val="20"/>
        </w:rPr>
        <w:t xml:space="preserve">selected </w:t>
      </w:r>
      <w:r w:rsidR="000A6F0A" w:rsidRPr="00F518FA">
        <w:rPr>
          <w:sz w:val="20"/>
          <w:szCs w:val="20"/>
        </w:rPr>
        <w:t xml:space="preserve">as finalists </w:t>
      </w:r>
      <w:r w:rsidR="005D0860" w:rsidRPr="00F518FA">
        <w:rPr>
          <w:sz w:val="20"/>
          <w:szCs w:val="20"/>
        </w:rPr>
        <w:t xml:space="preserve">and invited </w:t>
      </w:r>
      <w:r w:rsidR="005357CC" w:rsidRPr="00F518FA">
        <w:rPr>
          <w:sz w:val="20"/>
          <w:szCs w:val="20"/>
        </w:rPr>
        <w:t xml:space="preserve">via written notification from OST (the “Invitations”) </w:t>
      </w:r>
      <w:r w:rsidR="005D0860" w:rsidRPr="00F518FA">
        <w:rPr>
          <w:sz w:val="20"/>
          <w:szCs w:val="20"/>
        </w:rPr>
        <w:t xml:space="preserve">to </w:t>
      </w:r>
      <w:r w:rsidR="007247C9" w:rsidRPr="00F518FA">
        <w:rPr>
          <w:sz w:val="20"/>
          <w:szCs w:val="20"/>
        </w:rPr>
        <w:t>enter into</w:t>
      </w:r>
      <w:r w:rsidR="000A6F0A" w:rsidRPr="00F518FA">
        <w:rPr>
          <w:sz w:val="20"/>
          <w:szCs w:val="20"/>
        </w:rPr>
        <w:t xml:space="preserve"> written agreements </w:t>
      </w:r>
      <w:r w:rsidR="00D31492" w:rsidRPr="00F518FA">
        <w:rPr>
          <w:sz w:val="20"/>
          <w:szCs w:val="20"/>
        </w:rPr>
        <w:t xml:space="preserve">for </w:t>
      </w:r>
      <w:r w:rsidR="00354640">
        <w:rPr>
          <w:sz w:val="20"/>
          <w:szCs w:val="20"/>
        </w:rPr>
        <w:t>local b</w:t>
      </w:r>
      <w:r w:rsidR="00354640" w:rsidRPr="00F518FA">
        <w:rPr>
          <w:sz w:val="20"/>
          <w:szCs w:val="20"/>
        </w:rPr>
        <w:t xml:space="preserve">anking </w:t>
      </w:r>
      <w:r w:rsidR="00354640">
        <w:rPr>
          <w:sz w:val="20"/>
          <w:szCs w:val="20"/>
        </w:rPr>
        <w:t>s</w:t>
      </w:r>
      <w:r w:rsidR="00354640" w:rsidRPr="00F518FA">
        <w:rPr>
          <w:sz w:val="20"/>
          <w:szCs w:val="20"/>
        </w:rPr>
        <w:t xml:space="preserve">ervices </w:t>
      </w:r>
      <w:proofErr w:type="gramStart"/>
      <w:r w:rsidRPr="00F518FA">
        <w:rPr>
          <w:sz w:val="20"/>
          <w:szCs w:val="20"/>
        </w:rPr>
        <w:t>will be expected</w:t>
      </w:r>
      <w:proofErr w:type="gramEnd"/>
      <w:r w:rsidRPr="00F518FA">
        <w:rPr>
          <w:sz w:val="20"/>
          <w:szCs w:val="20"/>
        </w:rPr>
        <w:t xml:space="preserve"> to enter into formal </w:t>
      </w:r>
      <w:r w:rsidR="00D31492" w:rsidRPr="00F518FA">
        <w:rPr>
          <w:sz w:val="20"/>
          <w:szCs w:val="20"/>
        </w:rPr>
        <w:t xml:space="preserve">contracts </w:t>
      </w:r>
      <w:r w:rsidRPr="00F518FA">
        <w:rPr>
          <w:sz w:val="20"/>
          <w:szCs w:val="20"/>
        </w:rPr>
        <w:t>with OST</w:t>
      </w:r>
      <w:r w:rsidR="0028304B" w:rsidRPr="00F518FA">
        <w:rPr>
          <w:sz w:val="20"/>
          <w:szCs w:val="20"/>
        </w:rPr>
        <w:t xml:space="preserve"> </w:t>
      </w:r>
      <w:r w:rsidR="00D31492" w:rsidRPr="00F518FA">
        <w:rPr>
          <w:sz w:val="20"/>
          <w:szCs w:val="20"/>
        </w:rPr>
        <w:t>that</w:t>
      </w:r>
      <w:r w:rsidR="00D31492" w:rsidRPr="00227823">
        <w:rPr>
          <w:sz w:val="20"/>
          <w:szCs w:val="20"/>
        </w:rPr>
        <w:t xml:space="preserve"> </w:t>
      </w:r>
      <w:r w:rsidR="00D31492" w:rsidRPr="00F518FA">
        <w:rPr>
          <w:sz w:val="20"/>
          <w:szCs w:val="20"/>
        </w:rPr>
        <w:t>incorporate</w:t>
      </w:r>
      <w:r w:rsidR="00B8558E" w:rsidRPr="00F518FA">
        <w:rPr>
          <w:sz w:val="20"/>
          <w:szCs w:val="20"/>
        </w:rPr>
        <w:t xml:space="preserve"> </w:t>
      </w:r>
      <w:r w:rsidR="00354640">
        <w:rPr>
          <w:sz w:val="20"/>
          <w:szCs w:val="20"/>
        </w:rPr>
        <w:t xml:space="preserve">the </w:t>
      </w:r>
      <w:r w:rsidR="00B8558E" w:rsidRPr="00F518FA">
        <w:rPr>
          <w:sz w:val="20"/>
          <w:szCs w:val="20"/>
        </w:rPr>
        <w:t>STCs</w:t>
      </w:r>
      <w:r w:rsidR="00D31492" w:rsidRPr="00F518FA">
        <w:rPr>
          <w:sz w:val="20"/>
          <w:szCs w:val="20"/>
        </w:rPr>
        <w:t xml:space="preserve"> </w:t>
      </w:r>
      <w:r w:rsidR="00290509">
        <w:rPr>
          <w:sz w:val="20"/>
          <w:szCs w:val="20"/>
        </w:rPr>
        <w:t>(</w:t>
      </w:r>
      <w:r w:rsidR="00D31492" w:rsidRPr="00F518FA">
        <w:rPr>
          <w:sz w:val="20"/>
          <w:szCs w:val="20"/>
        </w:rPr>
        <w:t>“Contracts”)</w:t>
      </w:r>
      <w:r w:rsidR="00BE7E61" w:rsidRPr="00F518FA">
        <w:rPr>
          <w:sz w:val="20"/>
          <w:szCs w:val="20"/>
        </w:rPr>
        <w:t>.</w:t>
      </w:r>
      <w:r w:rsidR="009E211D" w:rsidRPr="00F518FA">
        <w:rPr>
          <w:sz w:val="20"/>
          <w:szCs w:val="20"/>
        </w:rPr>
        <w:t xml:space="preserve"> A Vendor’s attempt to negotiate pricing or other material Contract terms that </w:t>
      </w:r>
      <w:proofErr w:type="gramStart"/>
      <w:r w:rsidR="009E211D" w:rsidRPr="00F518FA">
        <w:rPr>
          <w:sz w:val="20"/>
          <w:szCs w:val="20"/>
        </w:rPr>
        <w:t>were not disclosed and detailed in the Vendor’s response</w:t>
      </w:r>
      <w:proofErr w:type="gramEnd"/>
      <w:r w:rsidR="009E211D" w:rsidRPr="00F518FA">
        <w:rPr>
          <w:sz w:val="20"/>
          <w:szCs w:val="20"/>
        </w:rPr>
        <w:t xml:space="preserve"> may result in the termination of negotiations with, and/or the disqualification of, such Vendor.</w:t>
      </w:r>
    </w:p>
    <w:p w14:paraId="4C9B276A" w14:textId="77777777" w:rsidR="00B65A59" w:rsidRPr="005E42E5" w:rsidRDefault="00B65A59" w:rsidP="00B57C4D">
      <w:pPr>
        <w:pStyle w:val="Heading2"/>
        <w:numPr>
          <w:ilvl w:val="1"/>
          <w:numId w:val="109"/>
        </w:numPr>
        <w:tabs>
          <w:tab w:val="clear" w:pos="2880"/>
        </w:tabs>
        <w:ind w:left="360"/>
      </w:pPr>
      <w:r w:rsidRPr="005E42E5">
        <w:t xml:space="preserve">Modification of </w:t>
      </w:r>
      <w:r w:rsidR="00D31492" w:rsidRPr="005E42E5">
        <w:t>STCs</w:t>
      </w:r>
    </w:p>
    <w:p w14:paraId="7743EF49" w14:textId="77777777" w:rsidR="00B65A59" w:rsidRPr="00F518FA" w:rsidRDefault="00C164AC" w:rsidP="00B36E61">
      <w:pPr>
        <w:ind w:left="360"/>
        <w:jc w:val="both"/>
        <w:rPr>
          <w:sz w:val="20"/>
          <w:szCs w:val="20"/>
        </w:rPr>
      </w:pPr>
      <w:r>
        <w:rPr>
          <w:sz w:val="20"/>
          <w:szCs w:val="20"/>
        </w:rPr>
        <w:t>The State</w:t>
      </w:r>
      <w:r w:rsidR="000A6F0A" w:rsidRPr="00F518FA">
        <w:rPr>
          <w:sz w:val="20"/>
          <w:szCs w:val="20"/>
        </w:rPr>
        <w:t xml:space="preserve">, in its discretion, may consider and accept proposed modifications to the </w:t>
      </w:r>
      <w:r w:rsidR="00B8558E" w:rsidRPr="00F518FA">
        <w:rPr>
          <w:sz w:val="20"/>
          <w:szCs w:val="20"/>
        </w:rPr>
        <w:t>STCs</w:t>
      </w:r>
      <w:r w:rsidR="000A6F0A" w:rsidRPr="00F518FA">
        <w:rPr>
          <w:sz w:val="20"/>
          <w:szCs w:val="20"/>
        </w:rPr>
        <w:t xml:space="preserve">. </w:t>
      </w:r>
      <w:r>
        <w:rPr>
          <w:sz w:val="20"/>
          <w:szCs w:val="20"/>
        </w:rPr>
        <w:t xml:space="preserve">The State </w:t>
      </w:r>
      <w:r w:rsidR="000A6F0A" w:rsidRPr="00F518FA">
        <w:rPr>
          <w:sz w:val="20"/>
          <w:szCs w:val="20"/>
        </w:rPr>
        <w:t xml:space="preserve">has the absolute right to reject any proposed </w:t>
      </w:r>
      <w:r w:rsidR="009E211D" w:rsidRPr="00F518FA">
        <w:rPr>
          <w:sz w:val="20"/>
          <w:szCs w:val="20"/>
        </w:rPr>
        <w:t xml:space="preserve">Contract terms, including, without limitation, any requested </w:t>
      </w:r>
      <w:r w:rsidR="00B8558E" w:rsidRPr="00F518FA">
        <w:rPr>
          <w:sz w:val="20"/>
          <w:szCs w:val="20"/>
        </w:rPr>
        <w:t xml:space="preserve">STC </w:t>
      </w:r>
      <w:r w:rsidR="000A6F0A" w:rsidRPr="00F518FA">
        <w:rPr>
          <w:sz w:val="20"/>
          <w:szCs w:val="20"/>
        </w:rPr>
        <w:t xml:space="preserve">modifications that were not timely raised and preserved as required herein. A Vendor’s attempt to negotiate new or different </w:t>
      </w:r>
      <w:r>
        <w:rPr>
          <w:sz w:val="20"/>
          <w:szCs w:val="20"/>
        </w:rPr>
        <w:t xml:space="preserve">language </w:t>
      </w:r>
      <w:r w:rsidR="000A6F0A" w:rsidRPr="00F518FA">
        <w:rPr>
          <w:sz w:val="20"/>
          <w:szCs w:val="20"/>
        </w:rPr>
        <w:t xml:space="preserve">not detailed </w:t>
      </w:r>
      <w:r>
        <w:rPr>
          <w:sz w:val="20"/>
          <w:szCs w:val="20"/>
        </w:rPr>
        <w:t>or</w:t>
      </w:r>
      <w:r w:rsidR="000A6F0A" w:rsidRPr="00F518FA">
        <w:rPr>
          <w:sz w:val="20"/>
          <w:szCs w:val="20"/>
        </w:rPr>
        <w:t xml:space="preserve"> reflected in the </w:t>
      </w:r>
      <w:r w:rsidR="00A526AF">
        <w:rPr>
          <w:sz w:val="20"/>
          <w:szCs w:val="20"/>
        </w:rPr>
        <w:t>“R</w:t>
      </w:r>
      <w:r w:rsidR="000A6F0A" w:rsidRPr="00F518FA">
        <w:rPr>
          <w:sz w:val="20"/>
          <w:szCs w:val="20"/>
        </w:rPr>
        <w:t>edline</w:t>
      </w:r>
      <w:r w:rsidR="00A526AF">
        <w:rPr>
          <w:sz w:val="20"/>
          <w:szCs w:val="20"/>
        </w:rPr>
        <w:t>d”</w:t>
      </w:r>
      <w:r w:rsidR="000A6F0A" w:rsidRPr="00F518FA">
        <w:rPr>
          <w:sz w:val="20"/>
          <w:szCs w:val="20"/>
        </w:rPr>
        <w:t xml:space="preserve"> may result in the termination of negotiations with, and/or the disqualification of, such Vendor.</w:t>
      </w:r>
    </w:p>
    <w:p w14:paraId="043FC54D" w14:textId="77777777" w:rsidR="00B65A59" w:rsidRPr="00F518FA" w:rsidRDefault="00B65A59" w:rsidP="00B57C4D">
      <w:pPr>
        <w:pStyle w:val="Heading2"/>
        <w:numPr>
          <w:ilvl w:val="1"/>
          <w:numId w:val="109"/>
        </w:numPr>
        <w:tabs>
          <w:tab w:val="clear" w:pos="2880"/>
        </w:tabs>
        <w:ind w:left="360"/>
      </w:pPr>
      <w:r w:rsidRPr="00F518FA">
        <w:t>Time Frame</w:t>
      </w:r>
    </w:p>
    <w:p w14:paraId="1D80BF2A" w14:textId="77777777" w:rsidR="00B65A59" w:rsidRPr="00F518FA" w:rsidRDefault="005357CC" w:rsidP="00B36E61">
      <w:pPr>
        <w:ind w:left="360"/>
        <w:jc w:val="both"/>
        <w:rPr>
          <w:sz w:val="20"/>
          <w:szCs w:val="20"/>
        </w:rPr>
      </w:pPr>
      <w:r w:rsidRPr="00F518FA">
        <w:rPr>
          <w:sz w:val="20"/>
          <w:szCs w:val="20"/>
        </w:rPr>
        <w:t xml:space="preserve">A </w:t>
      </w:r>
      <w:r w:rsidR="00B65A59" w:rsidRPr="00F518FA">
        <w:rPr>
          <w:sz w:val="20"/>
          <w:szCs w:val="20"/>
        </w:rPr>
        <w:t xml:space="preserve">Vendor </w:t>
      </w:r>
      <w:r w:rsidR="0047090D" w:rsidRPr="00F518FA">
        <w:rPr>
          <w:sz w:val="20"/>
          <w:szCs w:val="20"/>
        </w:rPr>
        <w:t>who receives an Invitation</w:t>
      </w:r>
      <w:r w:rsidRPr="00F518FA">
        <w:rPr>
          <w:sz w:val="20"/>
          <w:szCs w:val="20"/>
        </w:rPr>
        <w:t xml:space="preserve"> </w:t>
      </w:r>
      <w:r w:rsidR="0011741B" w:rsidRPr="00F518FA">
        <w:rPr>
          <w:sz w:val="20"/>
          <w:szCs w:val="20"/>
        </w:rPr>
        <w:t>must</w:t>
      </w:r>
      <w:r w:rsidR="00B65A59" w:rsidRPr="00F518FA">
        <w:rPr>
          <w:sz w:val="20"/>
          <w:szCs w:val="20"/>
        </w:rPr>
        <w:t xml:space="preserve"> execute a </w:t>
      </w:r>
      <w:r w:rsidR="0011741B" w:rsidRPr="00F518FA">
        <w:rPr>
          <w:sz w:val="20"/>
          <w:szCs w:val="20"/>
        </w:rPr>
        <w:t xml:space="preserve">Contract </w:t>
      </w:r>
      <w:r w:rsidR="00B65A59" w:rsidRPr="00F518FA">
        <w:rPr>
          <w:sz w:val="20"/>
          <w:szCs w:val="20"/>
        </w:rPr>
        <w:t>within twenty (20) busines</w:t>
      </w:r>
      <w:r w:rsidR="00BE7E61" w:rsidRPr="00F518FA">
        <w:rPr>
          <w:sz w:val="20"/>
          <w:szCs w:val="20"/>
        </w:rPr>
        <w:t xml:space="preserve">s days </w:t>
      </w:r>
      <w:r w:rsidR="0047090D" w:rsidRPr="00F518FA">
        <w:rPr>
          <w:sz w:val="20"/>
          <w:szCs w:val="20"/>
        </w:rPr>
        <w:t xml:space="preserve">from </w:t>
      </w:r>
      <w:r w:rsidRPr="00F518FA">
        <w:rPr>
          <w:sz w:val="20"/>
          <w:szCs w:val="20"/>
        </w:rPr>
        <w:t>the date of the Invitation</w:t>
      </w:r>
      <w:r w:rsidR="00F1007C" w:rsidRPr="00F518FA">
        <w:rPr>
          <w:sz w:val="20"/>
          <w:szCs w:val="20"/>
        </w:rPr>
        <w:t xml:space="preserve">, unless such period </w:t>
      </w:r>
      <w:proofErr w:type="gramStart"/>
      <w:r w:rsidR="00F1007C" w:rsidRPr="00F518FA">
        <w:rPr>
          <w:sz w:val="20"/>
          <w:szCs w:val="20"/>
        </w:rPr>
        <w:t>is extended</w:t>
      </w:r>
      <w:proofErr w:type="gramEnd"/>
      <w:r w:rsidR="00F1007C" w:rsidRPr="00F518FA">
        <w:rPr>
          <w:sz w:val="20"/>
          <w:szCs w:val="20"/>
        </w:rPr>
        <w:t xml:space="preserve"> by OST, in its discretion</w:t>
      </w:r>
      <w:r w:rsidR="00BE7E61" w:rsidRPr="00F518FA">
        <w:rPr>
          <w:sz w:val="20"/>
          <w:szCs w:val="20"/>
        </w:rPr>
        <w:t xml:space="preserve">. </w:t>
      </w:r>
      <w:r w:rsidR="00B65A59" w:rsidRPr="00F518FA">
        <w:rPr>
          <w:sz w:val="20"/>
          <w:szCs w:val="20"/>
        </w:rPr>
        <w:t xml:space="preserve">If no </w:t>
      </w:r>
      <w:r w:rsidR="0011741B" w:rsidRPr="00F518FA">
        <w:rPr>
          <w:sz w:val="20"/>
          <w:szCs w:val="20"/>
        </w:rPr>
        <w:t>Contract</w:t>
      </w:r>
      <w:r w:rsidRPr="00F518FA">
        <w:rPr>
          <w:sz w:val="20"/>
          <w:szCs w:val="20"/>
        </w:rPr>
        <w:t xml:space="preserve"> </w:t>
      </w:r>
      <w:proofErr w:type="gramStart"/>
      <w:r w:rsidR="00B65A59" w:rsidRPr="00F518FA">
        <w:rPr>
          <w:sz w:val="20"/>
          <w:szCs w:val="20"/>
        </w:rPr>
        <w:t>has been executed</w:t>
      </w:r>
      <w:proofErr w:type="gramEnd"/>
      <w:r w:rsidR="00B65A59" w:rsidRPr="00F518FA">
        <w:rPr>
          <w:sz w:val="20"/>
          <w:szCs w:val="20"/>
        </w:rPr>
        <w:t xml:space="preserve"> by </w:t>
      </w:r>
      <w:r w:rsidR="00F1007C" w:rsidRPr="00F518FA">
        <w:rPr>
          <w:sz w:val="20"/>
          <w:szCs w:val="20"/>
        </w:rPr>
        <w:t>the applicable deadline</w:t>
      </w:r>
      <w:r w:rsidR="00B65A59" w:rsidRPr="00F518FA">
        <w:rPr>
          <w:sz w:val="20"/>
          <w:szCs w:val="20"/>
        </w:rPr>
        <w:t xml:space="preserve">, OST </w:t>
      </w:r>
      <w:r w:rsidR="00F1007C" w:rsidRPr="00F518FA">
        <w:rPr>
          <w:sz w:val="20"/>
          <w:szCs w:val="20"/>
        </w:rPr>
        <w:t xml:space="preserve">may in its discretion </w:t>
      </w:r>
      <w:r w:rsidR="00B65A59" w:rsidRPr="00F518FA">
        <w:rPr>
          <w:sz w:val="20"/>
          <w:szCs w:val="20"/>
        </w:rPr>
        <w:t xml:space="preserve">cancel the </w:t>
      </w:r>
      <w:r w:rsidRPr="00F518FA">
        <w:rPr>
          <w:sz w:val="20"/>
          <w:szCs w:val="20"/>
        </w:rPr>
        <w:t>Invitation</w:t>
      </w:r>
      <w:r w:rsidR="00B65A59" w:rsidRPr="00F518FA">
        <w:rPr>
          <w:sz w:val="20"/>
          <w:szCs w:val="20"/>
        </w:rPr>
        <w:t xml:space="preserve"> and </w:t>
      </w:r>
      <w:r w:rsidRPr="00F518FA">
        <w:rPr>
          <w:sz w:val="20"/>
          <w:szCs w:val="20"/>
        </w:rPr>
        <w:t xml:space="preserve">enter into negotiations with </w:t>
      </w:r>
      <w:r w:rsidR="00B65A59" w:rsidRPr="00F518FA">
        <w:rPr>
          <w:sz w:val="20"/>
          <w:szCs w:val="20"/>
        </w:rPr>
        <w:t>another Vendor.</w:t>
      </w:r>
    </w:p>
    <w:p w14:paraId="6F327DD4" w14:textId="77777777" w:rsidR="00B65A59" w:rsidRPr="00F518FA" w:rsidRDefault="0011741B" w:rsidP="00B57C4D">
      <w:pPr>
        <w:pStyle w:val="Heading2"/>
        <w:numPr>
          <w:ilvl w:val="1"/>
          <w:numId w:val="109"/>
        </w:numPr>
        <w:tabs>
          <w:tab w:val="clear" w:pos="2880"/>
        </w:tabs>
        <w:ind w:left="360"/>
      </w:pPr>
      <w:r w:rsidRPr="00F518FA">
        <w:t xml:space="preserve">Inception </w:t>
      </w:r>
      <w:r w:rsidR="000B711B" w:rsidRPr="00F518FA">
        <w:t>of Services</w:t>
      </w:r>
    </w:p>
    <w:p w14:paraId="7F122A78" w14:textId="77777777" w:rsidR="00B65A59" w:rsidRPr="00F518FA" w:rsidRDefault="00577F85" w:rsidP="00B36E61">
      <w:pPr>
        <w:ind w:left="360"/>
        <w:jc w:val="both"/>
        <w:rPr>
          <w:sz w:val="20"/>
          <w:szCs w:val="20"/>
        </w:rPr>
      </w:pPr>
      <w:r w:rsidRPr="00F518FA">
        <w:rPr>
          <w:sz w:val="20"/>
          <w:szCs w:val="20"/>
        </w:rPr>
        <w:t xml:space="preserve">Absent OST’s prior written </w:t>
      </w:r>
      <w:r w:rsidR="00FB637B" w:rsidRPr="00F518FA">
        <w:rPr>
          <w:sz w:val="20"/>
          <w:szCs w:val="20"/>
        </w:rPr>
        <w:t xml:space="preserve">request or </w:t>
      </w:r>
      <w:r w:rsidRPr="00F518FA">
        <w:rPr>
          <w:sz w:val="20"/>
          <w:szCs w:val="20"/>
        </w:rPr>
        <w:t xml:space="preserve">approval, no </w:t>
      </w:r>
      <w:r w:rsidR="00B65A59" w:rsidRPr="00F518FA">
        <w:rPr>
          <w:sz w:val="20"/>
          <w:szCs w:val="20"/>
        </w:rPr>
        <w:t>Vendor is to begin</w:t>
      </w:r>
      <w:r w:rsidR="00945A36">
        <w:rPr>
          <w:sz w:val="20"/>
          <w:szCs w:val="20"/>
        </w:rPr>
        <w:t xml:space="preserve"> providing</w:t>
      </w:r>
      <w:r w:rsidR="00B65A59" w:rsidRPr="00F518FA">
        <w:rPr>
          <w:sz w:val="20"/>
          <w:szCs w:val="20"/>
        </w:rPr>
        <w:t xml:space="preserve"> any </w:t>
      </w:r>
      <w:r w:rsidR="00945A36">
        <w:rPr>
          <w:sz w:val="20"/>
          <w:szCs w:val="20"/>
        </w:rPr>
        <w:t>new service to the State, or any State agency,</w:t>
      </w:r>
      <w:r w:rsidR="0011741B" w:rsidRPr="00F518FA">
        <w:rPr>
          <w:sz w:val="20"/>
          <w:szCs w:val="20"/>
        </w:rPr>
        <w:t xml:space="preserve"> </w:t>
      </w:r>
      <w:r w:rsidR="00B65A59" w:rsidRPr="00F518FA">
        <w:rPr>
          <w:sz w:val="20"/>
          <w:szCs w:val="20"/>
        </w:rPr>
        <w:t xml:space="preserve">prior to </w:t>
      </w:r>
      <w:r w:rsidR="0047090D" w:rsidRPr="00F518FA">
        <w:rPr>
          <w:sz w:val="20"/>
          <w:szCs w:val="20"/>
        </w:rPr>
        <w:t>the issuance of an Award</w:t>
      </w:r>
      <w:r w:rsidR="000B711B" w:rsidRPr="00F518FA">
        <w:rPr>
          <w:sz w:val="20"/>
          <w:szCs w:val="20"/>
        </w:rPr>
        <w:t>.</w:t>
      </w:r>
    </w:p>
    <w:p w14:paraId="76F4328E" w14:textId="77777777" w:rsidR="00B65A59" w:rsidRPr="00F518FA" w:rsidRDefault="00B65A59" w:rsidP="00B57C4D">
      <w:pPr>
        <w:pStyle w:val="Heading2"/>
        <w:numPr>
          <w:ilvl w:val="1"/>
          <w:numId w:val="109"/>
        </w:numPr>
        <w:tabs>
          <w:tab w:val="clear" w:pos="2880"/>
        </w:tabs>
        <w:ind w:left="360"/>
      </w:pPr>
      <w:r w:rsidRPr="00F518FA">
        <w:t>Cancelation of Award</w:t>
      </w:r>
    </w:p>
    <w:p w14:paraId="11446042" w14:textId="62039D17" w:rsidR="00B65A59" w:rsidRPr="00F518FA" w:rsidRDefault="00B65A59" w:rsidP="00B36E61">
      <w:pPr>
        <w:ind w:left="360"/>
        <w:jc w:val="both"/>
        <w:rPr>
          <w:sz w:val="20"/>
          <w:szCs w:val="20"/>
        </w:rPr>
      </w:pPr>
      <w:r w:rsidRPr="00F518FA">
        <w:rPr>
          <w:sz w:val="20"/>
          <w:szCs w:val="20"/>
        </w:rPr>
        <w:t xml:space="preserve">If </w:t>
      </w:r>
      <w:r w:rsidR="0011741B" w:rsidRPr="00F518FA">
        <w:rPr>
          <w:sz w:val="20"/>
          <w:szCs w:val="20"/>
        </w:rPr>
        <w:t xml:space="preserve">a </w:t>
      </w:r>
      <w:r w:rsidRPr="00F518FA">
        <w:rPr>
          <w:sz w:val="20"/>
          <w:szCs w:val="20"/>
        </w:rPr>
        <w:t xml:space="preserve">Vendor </w:t>
      </w:r>
      <w:r w:rsidR="0011741B" w:rsidRPr="00F518FA">
        <w:rPr>
          <w:sz w:val="20"/>
          <w:szCs w:val="20"/>
        </w:rPr>
        <w:t>that receives</w:t>
      </w:r>
      <w:r w:rsidRPr="00F518FA">
        <w:rPr>
          <w:sz w:val="20"/>
          <w:szCs w:val="20"/>
        </w:rPr>
        <w:t xml:space="preserve"> </w:t>
      </w:r>
      <w:r w:rsidR="0011741B" w:rsidRPr="00F518FA">
        <w:rPr>
          <w:sz w:val="20"/>
          <w:szCs w:val="20"/>
        </w:rPr>
        <w:t xml:space="preserve">an </w:t>
      </w:r>
      <w:r w:rsidR="00FB637B" w:rsidRPr="00F518FA">
        <w:rPr>
          <w:sz w:val="20"/>
          <w:szCs w:val="20"/>
        </w:rPr>
        <w:t xml:space="preserve">Award fails to commence providing </w:t>
      </w:r>
      <w:r w:rsidR="00354640">
        <w:rPr>
          <w:sz w:val="20"/>
          <w:szCs w:val="20"/>
        </w:rPr>
        <w:t>local b</w:t>
      </w:r>
      <w:r w:rsidR="00354640" w:rsidRPr="00F518FA">
        <w:rPr>
          <w:sz w:val="20"/>
          <w:szCs w:val="20"/>
        </w:rPr>
        <w:t xml:space="preserve">anking </w:t>
      </w:r>
      <w:r w:rsidR="00354640">
        <w:rPr>
          <w:sz w:val="20"/>
          <w:szCs w:val="20"/>
        </w:rPr>
        <w:t>s</w:t>
      </w:r>
      <w:r w:rsidR="00354640" w:rsidRPr="00F518FA">
        <w:rPr>
          <w:sz w:val="20"/>
          <w:szCs w:val="20"/>
        </w:rPr>
        <w:t xml:space="preserve">ervices </w:t>
      </w:r>
      <w:r w:rsidR="00FB637B" w:rsidRPr="00F518FA">
        <w:rPr>
          <w:sz w:val="20"/>
          <w:szCs w:val="20"/>
        </w:rPr>
        <w:t xml:space="preserve">when due under the </w:t>
      </w:r>
      <w:r w:rsidR="0011741B" w:rsidRPr="00F518FA">
        <w:rPr>
          <w:sz w:val="20"/>
          <w:szCs w:val="20"/>
        </w:rPr>
        <w:t>Contract</w:t>
      </w:r>
      <w:r w:rsidR="006F1DF9" w:rsidRPr="00F518FA">
        <w:rPr>
          <w:sz w:val="20"/>
          <w:szCs w:val="20"/>
        </w:rPr>
        <w:t>,</w:t>
      </w:r>
      <w:r w:rsidR="00FB637B" w:rsidRPr="00F518FA">
        <w:rPr>
          <w:sz w:val="20"/>
          <w:szCs w:val="20"/>
        </w:rPr>
        <w:t xml:space="preserve"> </w:t>
      </w:r>
      <w:r w:rsidR="002F4BA5" w:rsidRPr="00F518FA">
        <w:rPr>
          <w:sz w:val="20"/>
          <w:szCs w:val="20"/>
        </w:rPr>
        <w:t>OST, without liability,</w:t>
      </w:r>
      <w:r w:rsidR="002668AD" w:rsidRPr="00F518FA">
        <w:rPr>
          <w:sz w:val="20"/>
          <w:szCs w:val="20"/>
        </w:rPr>
        <w:t xml:space="preserve"> </w:t>
      </w:r>
      <w:r w:rsidR="00FB637B" w:rsidRPr="00F518FA">
        <w:rPr>
          <w:sz w:val="20"/>
          <w:szCs w:val="20"/>
        </w:rPr>
        <w:t xml:space="preserve">may </w:t>
      </w:r>
      <w:r w:rsidR="002F4BA5" w:rsidRPr="00F518FA">
        <w:rPr>
          <w:sz w:val="20"/>
          <w:szCs w:val="20"/>
        </w:rPr>
        <w:t>cancel</w:t>
      </w:r>
      <w:r w:rsidR="001F6334" w:rsidRPr="00F518FA">
        <w:rPr>
          <w:sz w:val="20"/>
          <w:szCs w:val="20"/>
        </w:rPr>
        <w:t xml:space="preserve"> and </w:t>
      </w:r>
      <w:r w:rsidRPr="00F518FA">
        <w:rPr>
          <w:sz w:val="20"/>
          <w:szCs w:val="20"/>
        </w:rPr>
        <w:t>annul</w:t>
      </w:r>
      <w:r w:rsidR="002F4BA5" w:rsidRPr="00F518FA">
        <w:rPr>
          <w:sz w:val="20"/>
          <w:szCs w:val="20"/>
        </w:rPr>
        <w:t xml:space="preserve"> </w:t>
      </w:r>
      <w:r w:rsidR="00F1007C" w:rsidRPr="00F518FA">
        <w:rPr>
          <w:sz w:val="20"/>
          <w:szCs w:val="20"/>
        </w:rPr>
        <w:t>the</w:t>
      </w:r>
      <w:r w:rsidR="002F4BA5" w:rsidRPr="00F518FA">
        <w:rPr>
          <w:sz w:val="20"/>
          <w:szCs w:val="20"/>
        </w:rPr>
        <w:t xml:space="preserve"> Award</w:t>
      </w:r>
      <w:r w:rsidR="00F1007C" w:rsidRPr="00F518FA">
        <w:rPr>
          <w:sz w:val="20"/>
          <w:szCs w:val="20"/>
        </w:rPr>
        <w:t xml:space="preserve"> and Contract</w:t>
      </w:r>
      <w:r w:rsidR="002F4BA5" w:rsidRPr="00F518FA">
        <w:rPr>
          <w:sz w:val="20"/>
          <w:szCs w:val="20"/>
        </w:rPr>
        <w:t>.  In such event,</w:t>
      </w:r>
      <w:r w:rsidRPr="00F518FA">
        <w:rPr>
          <w:sz w:val="20"/>
          <w:szCs w:val="20"/>
        </w:rPr>
        <w:t xml:space="preserve"> an </w:t>
      </w:r>
      <w:r w:rsidR="002668AD" w:rsidRPr="00F518FA">
        <w:rPr>
          <w:sz w:val="20"/>
          <w:szCs w:val="20"/>
        </w:rPr>
        <w:t xml:space="preserve">Award </w:t>
      </w:r>
      <w:r w:rsidR="001F6334" w:rsidRPr="00F518FA">
        <w:rPr>
          <w:sz w:val="20"/>
          <w:szCs w:val="20"/>
        </w:rPr>
        <w:t xml:space="preserve">under this RFP </w:t>
      </w:r>
      <w:proofErr w:type="gramStart"/>
      <w:r w:rsidRPr="00F518FA">
        <w:rPr>
          <w:sz w:val="20"/>
          <w:szCs w:val="20"/>
        </w:rPr>
        <w:t>may be made</w:t>
      </w:r>
      <w:proofErr w:type="gramEnd"/>
      <w:r w:rsidRPr="00F518FA">
        <w:rPr>
          <w:sz w:val="20"/>
          <w:szCs w:val="20"/>
        </w:rPr>
        <w:t xml:space="preserve"> to another Vendor.  </w:t>
      </w:r>
    </w:p>
    <w:p w14:paraId="072D8265" w14:textId="77777777" w:rsidR="00B65A59" w:rsidRPr="00F518FA" w:rsidRDefault="00B65A59" w:rsidP="00B57C4D">
      <w:pPr>
        <w:pStyle w:val="Heading2"/>
        <w:numPr>
          <w:ilvl w:val="1"/>
          <w:numId w:val="109"/>
        </w:numPr>
        <w:tabs>
          <w:tab w:val="clear" w:pos="2880"/>
        </w:tabs>
        <w:ind w:left="360"/>
      </w:pPr>
      <w:r w:rsidRPr="00F518FA">
        <w:t>Collusion or Fraud</w:t>
      </w:r>
    </w:p>
    <w:p w14:paraId="77F01BEE" w14:textId="3FAE568B" w:rsidR="00B65A59" w:rsidRPr="00F518FA" w:rsidRDefault="00B65A59" w:rsidP="00B36E61">
      <w:pPr>
        <w:ind w:left="360"/>
        <w:jc w:val="both"/>
        <w:rPr>
          <w:sz w:val="20"/>
          <w:szCs w:val="20"/>
        </w:rPr>
      </w:pPr>
      <w:r w:rsidRPr="00F518FA">
        <w:rPr>
          <w:sz w:val="20"/>
          <w:szCs w:val="20"/>
        </w:rPr>
        <w:t xml:space="preserve">Vendors </w:t>
      </w:r>
      <w:r w:rsidR="00F1007C" w:rsidRPr="00F518FA">
        <w:rPr>
          <w:sz w:val="20"/>
          <w:szCs w:val="20"/>
        </w:rPr>
        <w:t>may not</w:t>
      </w:r>
      <w:r w:rsidRPr="00F518FA">
        <w:rPr>
          <w:sz w:val="20"/>
          <w:szCs w:val="20"/>
        </w:rPr>
        <w:t xml:space="preserve"> restrain competition by agreement to offer a fixed price, or otherwise</w:t>
      </w:r>
      <w:r w:rsidR="008F1342">
        <w:rPr>
          <w:sz w:val="20"/>
          <w:szCs w:val="20"/>
        </w:rPr>
        <w:t>.</w:t>
      </w:r>
      <w:r w:rsidRPr="00F518FA">
        <w:rPr>
          <w:sz w:val="20"/>
          <w:szCs w:val="20"/>
        </w:rPr>
        <w:t xml:space="preserve"> </w:t>
      </w:r>
      <w:r w:rsidR="000B4D46" w:rsidRPr="00F518FA" w:rsidDel="000B4D46">
        <w:rPr>
          <w:sz w:val="20"/>
          <w:szCs w:val="20"/>
        </w:rPr>
        <w:t xml:space="preserve"> </w:t>
      </w:r>
      <w:proofErr w:type="gramStart"/>
      <w:r w:rsidRPr="00F518FA">
        <w:rPr>
          <w:sz w:val="20"/>
          <w:szCs w:val="20"/>
        </w:rPr>
        <w:t>By responding to this RFP, the Vendor shall be deemed to have represented and warranted that: (</w:t>
      </w:r>
      <w:proofErr w:type="spellStart"/>
      <w:r w:rsidRPr="00F518FA">
        <w:rPr>
          <w:sz w:val="20"/>
          <w:szCs w:val="20"/>
        </w:rPr>
        <w:t>i</w:t>
      </w:r>
      <w:proofErr w:type="spellEnd"/>
      <w:r w:rsidRPr="00F518FA">
        <w:rPr>
          <w:sz w:val="20"/>
          <w:szCs w:val="20"/>
        </w:rPr>
        <w:t xml:space="preserve">) its proposal is not made in connection with any competing Vendor submitting a separate response to this RFP; (ii) its approval is in all respects fair and without collusion or fraud; (iii) the Vendor did not participate in the RFP development process and had no knowledge of the specific contents of the RFP prior to its issuance; and (iv) no employee or official of </w:t>
      </w:r>
      <w:r w:rsidR="0037661B" w:rsidRPr="00F518FA">
        <w:rPr>
          <w:sz w:val="20"/>
          <w:szCs w:val="20"/>
        </w:rPr>
        <w:t xml:space="preserve">the State, the </w:t>
      </w:r>
      <w:r w:rsidR="00354640">
        <w:rPr>
          <w:sz w:val="20"/>
          <w:szCs w:val="20"/>
        </w:rPr>
        <w:t>CMPB</w:t>
      </w:r>
      <w:r w:rsidR="00354640" w:rsidRPr="00F518FA">
        <w:rPr>
          <w:sz w:val="20"/>
          <w:szCs w:val="20"/>
        </w:rPr>
        <w:t xml:space="preserve"> </w:t>
      </w:r>
      <w:r w:rsidR="0037661B" w:rsidRPr="00F518FA">
        <w:rPr>
          <w:sz w:val="20"/>
          <w:szCs w:val="20"/>
        </w:rPr>
        <w:t xml:space="preserve">or </w:t>
      </w:r>
      <w:r w:rsidRPr="00F518FA">
        <w:rPr>
          <w:sz w:val="20"/>
          <w:szCs w:val="20"/>
        </w:rPr>
        <w:t>OST participated directly or indirectly in the Vendor’s proposal preparation.</w:t>
      </w:r>
      <w:proofErr w:type="gramEnd"/>
    </w:p>
    <w:p w14:paraId="516C5EFD" w14:textId="77777777" w:rsidR="00CA0585" w:rsidRPr="00F518FA" w:rsidRDefault="00CA0585" w:rsidP="00B36E61">
      <w:pPr>
        <w:ind w:left="360"/>
        <w:jc w:val="both"/>
        <w:rPr>
          <w:sz w:val="20"/>
          <w:szCs w:val="20"/>
        </w:rPr>
      </w:pPr>
    </w:p>
    <w:p w14:paraId="4584EE8B" w14:textId="77777777" w:rsidR="00CA0585" w:rsidRPr="00F518FA" w:rsidRDefault="001F6334" w:rsidP="00B36E61">
      <w:pPr>
        <w:ind w:left="360"/>
        <w:jc w:val="both"/>
        <w:rPr>
          <w:sz w:val="20"/>
          <w:szCs w:val="20"/>
        </w:rPr>
      </w:pPr>
      <w:r w:rsidRPr="00F518FA">
        <w:rPr>
          <w:sz w:val="20"/>
          <w:szCs w:val="20"/>
        </w:rPr>
        <w:t xml:space="preserve">If at any time, whether prior </w:t>
      </w:r>
      <w:r w:rsidR="00337546" w:rsidRPr="00F518FA">
        <w:rPr>
          <w:sz w:val="20"/>
          <w:szCs w:val="20"/>
        </w:rPr>
        <w:t xml:space="preserve">to </w:t>
      </w:r>
      <w:r w:rsidRPr="00F518FA">
        <w:rPr>
          <w:sz w:val="20"/>
          <w:szCs w:val="20"/>
        </w:rPr>
        <w:t xml:space="preserve">or </w:t>
      </w:r>
      <w:r w:rsidR="00337546" w:rsidRPr="00F518FA">
        <w:rPr>
          <w:sz w:val="20"/>
          <w:szCs w:val="20"/>
        </w:rPr>
        <w:t>after</w:t>
      </w:r>
      <w:r w:rsidRPr="00F518FA">
        <w:rPr>
          <w:sz w:val="20"/>
          <w:szCs w:val="20"/>
        </w:rPr>
        <w:t xml:space="preserve"> the issuance of an Award, OST determines that any of the </w:t>
      </w:r>
      <w:r w:rsidR="00CA0585" w:rsidRPr="00F518FA">
        <w:rPr>
          <w:sz w:val="20"/>
          <w:szCs w:val="20"/>
        </w:rPr>
        <w:t>foregoing representations</w:t>
      </w:r>
      <w:r w:rsidRPr="00F518FA">
        <w:rPr>
          <w:sz w:val="20"/>
          <w:szCs w:val="20"/>
        </w:rPr>
        <w:t xml:space="preserve"> was </w:t>
      </w:r>
      <w:r w:rsidR="00337546" w:rsidRPr="00F518FA">
        <w:rPr>
          <w:sz w:val="20"/>
          <w:szCs w:val="20"/>
        </w:rPr>
        <w:t xml:space="preserve">untrue </w:t>
      </w:r>
      <w:r w:rsidRPr="00F518FA">
        <w:rPr>
          <w:sz w:val="20"/>
          <w:szCs w:val="20"/>
        </w:rPr>
        <w:t>when made or subsequently became untrue</w:t>
      </w:r>
      <w:r w:rsidR="00CA0585" w:rsidRPr="00F518FA">
        <w:rPr>
          <w:sz w:val="20"/>
          <w:szCs w:val="20"/>
        </w:rPr>
        <w:t xml:space="preserve">, </w:t>
      </w:r>
      <w:r w:rsidRPr="00F518FA">
        <w:rPr>
          <w:sz w:val="20"/>
          <w:szCs w:val="20"/>
        </w:rPr>
        <w:t xml:space="preserve">OST </w:t>
      </w:r>
      <w:r w:rsidR="00337546" w:rsidRPr="00F518FA">
        <w:rPr>
          <w:sz w:val="20"/>
          <w:szCs w:val="20"/>
        </w:rPr>
        <w:t>may</w:t>
      </w:r>
      <w:r w:rsidRPr="00F518FA">
        <w:rPr>
          <w:sz w:val="20"/>
          <w:szCs w:val="20"/>
        </w:rPr>
        <w:t xml:space="preserve">, </w:t>
      </w:r>
      <w:r w:rsidR="00337546" w:rsidRPr="00F518FA">
        <w:rPr>
          <w:sz w:val="20"/>
          <w:szCs w:val="20"/>
        </w:rPr>
        <w:t>without liability</w:t>
      </w:r>
      <w:r w:rsidRPr="00F518FA">
        <w:rPr>
          <w:sz w:val="20"/>
          <w:szCs w:val="20"/>
        </w:rPr>
        <w:t xml:space="preserve">, </w:t>
      </w:r>
      <w:r w:rsidR="00337546" w:rsidRPr="00F518FA">
        <w:rPr>
          <w:sz w:val="20"/>
          <w:szCs w:val="20"/>
        </w:rPr>
        <w:t>cancel and annul</w:t>
      </w:r>
      <w:r w:rsidRPr="00F518FA">
        <w:rPr>
          <w:sz w:val="20"/>
          <w:szCs w:val="20"/>
        </w:rPr>
        <w:t xml:space="preserve"> the Award</w:t>
      </w:r>
      <w:r w:rsidR="00337546" w:rsidRPr="00F518FA">
        <w:rPr>
          <w:sz w:val="20"/>
          <w:szCs w:val="20"/>
        </w:rPr>
        <w:t xml:space="preserve"> and terminate any Contract</w:t>
      </w:r>
      <w:r w:rsidR="00CA0585" w:rsidRPr="00F518FA">
        <w:rPr>
          <w:sz w:val="20"/>
          <w:szCs w:val="20"/>
        </w:rPr>
        <w:t xml:space="preserve">.  In such event, an Award </w:t>
      </w:r>
      <w:r w:rsidR="00337546" w:rsidRPr="00F518FA">
        <w:rPr>
          <w:sz w:val="20"/>
          <w:szCs w:val="20"/>
        </w:rPr>
        <w:t xml:space="preserve">under this RFP </w:t>
      </w:r>
      <w:proofErr w:type="gramStart"/>
      <w:r w:rsidR="00CA0585" w:rsidRPr="00F518FA">
        <w:rPr>
          <w:sz w:val="20"/>
          <w:szCs w:val="20"/>
        </w:rPr>
        <w:t>may be made</w:t>
      </w:r>
      <w:proofErr w:type="gramEnd"/>
      <w:r w:rsidR="00CA0585" w:rsidRPr="00F518FA">
        <w:rPr>
          <w:sz w:val="20"/>
          <w:szCs w:val="20"/>
        </w:rPr>
        <w:t xml:space="preserve"> to another Vendor.</w:t>
      </w:r>
    </w:p>
    <w:p w14:paraId="17C03426" w14:textId="77777777" w:rsidR="00B65A59" w:rsidRPr="0005743F" w:rsidRDefault="00B65A59" w:rsidP="00B57C4D">
      <w:pPr>
        <w:pStyle w:val="Heading2"/>
        <w:numPr>
          <w:ilvl w:val="1"/>
          <w:numId w:val="109"/>
        </w:numPr>
        <w:tabs>
          <w:tab w:val="clear" w:pos="2880"/>
        </w:tabs>
        <w:ind w:left="360"/>
      </w:pPr>
      <w:r w:rsidRPr="0005743F">
        <w:t>Lobbying and Gratuities</w:t>
      </w:r>
      <w:r w:rsidR="00842E87" w:rsidRPr="0005743F">
        <w:t xml:space="preserve"> and Contingency Fees</w:t>
      </w:r>
    </w:p>
    <w:p w14:paraId="439D4DA0" w14:textId="55DCCD2A" w:rsidR="00B65A59" w:rsidRPr="00F518FA" w:rsidRDefault="00DA44DB" w:rsidP="00B36E61">
      <w:pPr>
        <w:ind w:left="360"/>
        <w:jc w:val="both"/>
        <w:rPr>
          <w:sz w:val="20"/>
          <w:szCs w:val="20"/>
        </w:rPr>
      </w:pPr>
      <w:r w:rsidRPr="00F518FA">
        <w:rPr>
          <w:sz w:val="20"/>
          <w:szCs w:val="20"/>
        </w:rPr>
        <w:t xml:space="preserve">As required by 29 </w:t>
      </w:r>
      <w:r w:rsidRPr="00F518FA">
        <w:rPr>
          <w:i/>
          <w:sz w:val="20"/>
          <w:szCs w:val="20"/>
        </w:rPr>
        <w:t>Del. C.</w:t>
      </w:r>
      <w:r w:rsidRPr="00F518FA">
        <w:rPr>
          <w:sz w:val="20"/>
          <w:szCs w:val="20"/>
        </w:rPr>
        <w:t xml:space="preserve"> § 6903(b), all successful Vendors are deemed to have sworn under oath </w:t>
      </w:r>
      <w:r w:rsidRPr="00F518FA">
        <w:rPr>
          <w:color w:val="222222"/>
          <w:sz w:val="20"/>
          <w:szCs w:val="20"/>
        </w:rPr>
        <w:t>that the Vendor has not employed or</w:t>
      </w:r>
      <w:r w:rsidR="00842E87" w:rsidRPr="00F518FA">
        <w:rPr>
          <w:color w:val="222222"/>
          <w:sz w:val="20"/>
          <w:szCs w:val="20"/>
        </w:rPr>
        <w:t xml:space="preserve"> retained any company or person</w:t>
      </w:r>
      <w:r w:rsidRPr="00F518FA">
        <w:rPr>
          <w:color w:val="222222"/>
          <w:sz w:val="20"/>
          <w:szCs w:val="20"/>
        </w:rPr>
        <w:t xml:space="preserve"> to solicit or secure a Contract by improperly influencing OST or the </w:t>
      </w:r>
      <w:r w:rsidR="00354640">
        <w:rPr>
          <w:color w:val="222222"/>
          <w:sz w:val="20"/>
          <w:szCs w:val="20"/>
        </w:rPr>
        <w:t>CMPB</w:t>
      </w:r>
      <w:r w:rsidR="00354640" w:rsidRPr="00F518FA">
        <w:rPr>
          <w:color w:val="222222"/>
          <w:sz w:val="20"/>
          <w:szCs w:val="20"/>
        </w:rPr>
        <w:t xml:space="preserve"> </w:t>
      </w:r>
      <w:r w:rsidR="00842E87" w:rsidRPr="00F518FA">
        <w:rPr>
          <w:color w:val="222222"/>
          <w:sz w:val="20"/>
          <w:szCs w:val="20"/>
        </w:rPr>
        <w:t xml:space="preserve">or any OST or Board </w:t>
      </w:r>
      <w:r w:rsidR="00354640">
        <w:rPr>
          <w:color w:val="222222"/>
          <w:sz w:val="20"/>
          <w:szCs w:val="20"/>
        </w:rPr>
        <w:t xml:space="preserve">members, </w:t>
      </w:r>
      <w:r w:rsidRPr="00F518FA">
        <w:rPr>
          <w:color w:val="222222"/>
          <w:sz w:val="20"/>
          <w:szCs w:val="20"/>
        </w:rPr>
        <w:t>employees or agents in this procurement process.</w:t>
      </w:r>
      <w:r w:rsidR="00BE7E61" w:rsidRPr="00F518FA">
        <w:rPr>
          <w:sz w:val="20"/>
          <w:szCs w:val="20"/>
        </w:rPr>
        <w:t xml:space="preserve"> </w:t>
      </w:r>
      <w:r w:rsidR="00B65A59" w:rsidRPr="00F518FA">
        <w:rPr>
          <w:sz w:val="20"/>
          <w:szCs w:val="20"/>
        </w:rPr>
        <w:t xml:space="preserve">Vendors found to </w:t>
      </w:r>
      <w:r w:rsidRPr="00F518FA">
        <w:rPr>
          <w:sz w:val="20"/>
          <w:szCs w:val="20"/>
        </w:rPr>
        <w:t xml:space="preserve">have violated this oath shall </w:t>
      </w:r>
      <w:r w:rsidR="00B65A59" w:rsidRPr="00F518FA">
        <w:rPr>
          <w:sz w:val="20"/>
          <w:szCs w:val="20"/>
        </w:rPr>
        <w:t xml:space="preserve">have their </w:t>
      </w:r>
      <w:r w:rsidR="00220FC3" w:rsidRPr="00F518FA">
        <w:rPr>
          <w:sz w:val="20"/>
          <w:szCs w:val="20"/>
        </w:rPr>
        <w:t xml:space="preserve">Awards and </w:t>
      </w:r>
      <w:r w:rsidR="0037661B" w:rsidRPr="00F518FA">
        <w:rPr>
          <w:sz w:val="20"/>
          <w:szCs w:val="20"/>
        </w:rPr>
        <w:t>Contracts</w:t>
      </w:r>
      <w:r w:rsidR="000B4D46" w:rsidRPr="00F518FA">
        <w:rPr>
          <w:sz w:val="20"/>
          <w:szCs w:val="20"/>
        </w:rPr>
        <w:t xml:space="preserve"> </w:t>
      </w:r>
      <w:r w:rsidR="00220FC3" w:rsidRPr="00F518FA">
        <w:rPr>
          <w:sz w:val="20"/>
          <w:szCs w:val="20"/>
        </w:rPr>
        <w:t>annulled</w:t>
      </w:r>
      <w:r w:rsidR="000B4D46" w:rsidRPr="00F518FA">
        <w:rPr>
          <w:sz w:val="20"/>
          <w:szCs w:val="20"/>
        </w:rPr>
        <w:t>, terminated</w:t>
      </w:r>
      <w:r w:rsidR="00CA0585" w:rsidRPr="00F518FA">
        <w:rPr>
          <w:sz w:val="20"/>
          <w:szCs w:val="20"/>
        </w:rPr>
        <w:t xml:space="preserve"> and </w:t>
      </w:r>
      <w:r w:rsidR="008E7B22" w:rsidRPr="00F518FA">
        <w:rPr>
          <w:sz w:val="20"/>
          <w:szCs w:val="20"/>
        </w:rPr>
        <w:t xml:space="preserve">deemed void </w:t>
      </w:r>
      <w:r w:rsidR="008E7B22" w:rsidRPr="00F518FA">
        <w:rPr>
          <w:i/>
          <w:sz w:val="20"/>
          <w:szCs w:val="20"/>
        </w:rPr>
        <w:t>ab initio</w:t>
      </w:r>
      <w:r w:rsidR="00B65A59" w:rsidRPr="00F518FA">
        <w:rPr>
          <w:sz w:val="20"/>
          <w:szCs w:val="20"/>
        </w:rPr>
        <w:t>.</w:t>
      </w:r>
      <w:r w:rsidRPr="00F518FA">
        <w:rPr>
          <w:sz w:val="20"/>
          <w:szCs w:val="20"/>
        </w:rPr>
        <w:t xml:space="preserve">  In such event, an Award under this RFP </w:t>
      </w:r>
      <w:proofErr w:type="gramStart"/>
      <w:r w:rsidRPr="00F518FA">
        <w:rPr>
          <w:sz w:val="20"/>
          <w:szCs w:val="20"/>
        </w:rPr>
        <w:t>may be made</w:t>
      </w:r>
      <w:proofErr w:type="gramEnd"/>
      <w:r w:rsidRPr="00F518FA">
        <w:rPr>
          <w:sz w:val="20"/>
          <w:szCs w:val="20"/>
        </w:rPr>
        <w:t xml:space="preserve"> to another Vendor.</w:t>
      </w:r>
    </w:p>
    <w:p w14:paraId="04B7D955" w14:textId="77777777" w:rsidR="00B65A59" w:rsidRPr="00F518FA" w:rsidRDefault="00B65A59" w:rsidP="00B36E61">
      <w:pPr>
        <w:ind w:left="360"/>
        <w:jc w:val="both"/>
        <w:rPr>
          <w:sz w:val="20"/>
          <w:szCs w:val="20"/>
        </w:rPr>
      </w:pPr>
    </w:p>
    <w:p w14:paraId="1C193C11" w14:textId="77777777" w:rsidR="00842E87" w:rsidRPr="00F518FA" w:rsidRDefault="00DA44DB" w:rsidP="00B36E61">
      <w:pPr>
        <w:ind w:left="360"/>
        <w:jc w:val="both"/>
        <w:rPr>
          <w:sz w:val="20"/>
          <w:szCs w:val="20"/>
        </w:rPr>
      </w:pPr>
      <w:r w:rsidRPr="00F518FA">
        <w:rPr>
          <w:sz w:val="20"/>
          <w:szCs w:val="20"/>
        </w:rPr>
        <w:t xml:space="preserve">In addition, all </w:t>
      </w:r>
      <w:r w:rsidR="00B65A59" w:rsidRPr="00F518FA">
        <w:rPr>
          <w:sz w:val="20"/>
          <w:szCs w:val="20"/>
        </w:rPr>
        <w:t>Vendor</w:t>
      </w:r>
      <w:r w:rsidR="000B4D46" w:rsidRPr="00F518FA">
        <w:rPr>
          <w:sz w:val="20"/>
          <w:szCs w:val="20"/>
        </w:rPr>
        <w:t>s</w:t>
      </w:r>
      <w:r w:rsidR="00B65A59" w:rsidRPr="00F518FA">
        <w:rPr>
          <w:sz w:val="20"/>
          <w:szCs w:val="20"/>
        </w:rPr>
        <w:t xml:space="preserve"> </w:t>
      </w:r>
      <w:r w:rsidR="00842E87" w:rsidRPr="00F518FA">
        <w:rPr>
          <w:sz w:val="20"/>
          <w:szCs w:val="20"/>
        </w:rPr>
        <w:t xml:space="preserve">represent and </w:t>
      </w:r>
      <w:r w:rsidR="00B65A59" w:rsidRPr="00F518FA">
        <w:rPr>
          <w:sz w:val="20"/>
          <w:szCs w:val="20"/>
        </w:rPr>
        <w:t xml:space="preserve">warrant that </w:t>
      </w:r>
      <w:r w:rsidR="00842E87" w:rsidRPr="00F518FA">
        <w:rPr>
          <w:sz w:val="20"/>
          <w:szCs w:val="20"/>
        </w:rPr>
        <w:t xml:space="preserve">Vendor </w:t>
      </w:r>
      <w:r w:rsidR="00842E87" w:rsidRPr="00F518FA">
        <w:rPr>
          <w:color w:val="222222"/>
          <w:sz w:val="20"/>
          <w:szCs w:val="20"/>
        </w:rPr>
        <w:t>has not directly or indirectly paid or agreed to pay any person, company, corporation, individual or firm, other than a bona fide employee working primarily for Vendor, any fee, commission, percentage, gift or any other consideration contingent upon or resulting from an Award or Contract</w:t>
      </w:r>
      <w:r w:rsidR="00BE7E61" w:rsidRPr="00F518FA">
        <w:rPr>
          <w:sz w:val="20"/>
          <w:szCs w:val="20"/>
        </w:rPr>
        <w:t>.</w:t>
      </w:r>
    </w:p>
    <w:p w14:paraId="0F2215C5" w14:textId="77777777" w:rsidR="00842E87" w:rsidRPr="00F518FA" w:rsidRDefault="00842E87" w:rsidP="00B36E61">
      <w:pPr>
        <w:ind w:left="360"/>
        <w:jc w:val="both"/>
        <w:rPr>
          <w:sz w:val="20"/>
          <w:szCs w:val="20"/>
        </w:rPr>
      </w:pPr>
    </w:p>
    <w:p w14:paraId="29A9E5E2" w14:textId="77777777" w:rsidR="00B65A59" w:rsidRPr="00F518FA" w:rsidRDefault="00B65A59" w:rsidP="00B36E61">
      <w:pPr>
        <w:ind w:left="360"/>
        <w:jc w:val="both"/>
        <w:rPr>
          <w:sz w:val="20"/>
          <w:szCs w:val="20"/>
        </w:rPr>
      </w:pPr>
      <w:r w:rsidRPr="00F518FA">
        <w:rPr>
          <w:sz w:val="20"/>
          <w:szCs w:val="20"/>
        </w:rPr>
        <w:t>For breach or violation of th</w:t>
      </w:r>
      <w:r w:rsidR="00842E87" w:rsidRPr="00F518FA">
        <w:rPr>
          <w:sz w:val="20"/>
          <w:szCs w:val="20"/>
        </w:rPr>
        <w:t>e foregoing oaths, representations or warranties</w:t>
      </w:r>
      <w:r w:rsidRPr="00F518FA">
        <w:rPr>
          <w:sz w:val="20"/>
          <w:szCs w:val="20"/>
        </w:rPr>
        <w:t>, OST</w:t>
      </w:r>
      <w:r w:rsidR="008E7B22" w:rsidRPr="00F518FA">
        <w:rPr>
          <w:sz w:val="20"/>
          <w:szCs w:val="20"/>
        </w:rPr>
        <w:t>,</w:t>
      </w:r>
      <w:r w:rsidRPr="00F518FA">
        <w:rPr>
          <w:sz w:val="20"/>
          <w:szCs w:val="20"/>
        </w:rPr>
        <w:t xml:space="preserve"> </w:t>
      </w:r>
      <w:r w:rsidR="008E7B22" w:rsidRPr="00F518FA">
        <w:rPr>
          <w:sz w:val="20"/>
          <w:szCs w:val="20"/>
        </w:rPr>
        <w:t>in its discretion</w:t>
      </w:r>
      <w:r w:rsidR="00CA0585" w:rsidRPr="00F518FA">
        <w:rPr>
          <w:sz w:val="20"/>
          <w:szCs w:val="20"/>
        </w:rPr>
        <w:t xml:space="preserve"> and without liability</w:t>
      </w:r>
      <w:r w:rsidR="008E7B22" w:rsidRPr="00F518FA">
        <w:rPr>
          <w:sz w:val="20"/>
          <w:szCs w:val="20"/>
        </w:rPr>
        <w:t xml:space="preserve">, </w:t>
      </w:r>
      <w:r w:rsidRPr="00F518FA">
        <w:rPr>
          <w:sz w:val="20"/>
          <w:szCs w:val="20"/>
        </w:rPr>
        <w:t>shall have the right to annul</w:t>
      </w:r>
      <w:r w:rsidR="00842E87" w:rsidRPr="00F518FA">
        <w:rPr>
          <w:sz w:val="20"/>
          <w:szCs w:val="20"/>
        </w:rPr>
        <w:t>, terminate</w:t>
      </w:r>
      <w:r w:rsidRPr="00F518FA">
        <w:rPr>
          <w:sz w:val="20"/>
          <w:szCs w:val="20"/>
        </w:rPr>
        <w:t xml:space="preserve"> </w:t>
      </w:r>
      <w:r w:rsidR="00CA0585" w:rsidRPr="00F518FA">
        <w:rPr>
          <w:sz w:val="20"/>
          <w:szCs w:val="20"/>
        </w:rPr>
        <w:t xml:space="preserve">and </w:t>
      </w:r>
      <w:r w:rsidR="008E7B22" w:rsidRPr="00F518FA">
        <w:rPr>
          <w:sz w:val="20"/>
          <w:szCs w:val="20"/>
        </w:rPr>
        <w:t xml:space="preserve">deem void </w:t>
      </w:r>
      <w:r w:rsidR="008E7B22" w:rsidRPr="00F518FA">
        <w:rPr>
          <w:i/>
          <w:sz w:val="20"/>
          <w:szCs w:val="20"/>
        </w:rPr>
        <w:t>ab initio</w:t>
      </w:r>
      <w:r w:rsidR="008E7B22" w:rsidRPr="00F518FA">
        <w:rPr>
          <w:sz w:val="20"/>
          <w:szCs w:val="20"/>
        </w:rPr>
        <w:t xml:space="preserve"> </w:t>
      </w:r>
      <w:r w:rsidRPr="00F518FA">
        <w:rPr>
          <w:sz w:val="20"/>
          <w:szCs w:val="20"/>
        </w:rPr>
        <w:t xml:space="preserve">any </w:t>
      </w:r>
      <w:r w:rsidR="00220FC3" w:rsidRPr="00F518FA">
        <w:rPr>
          <w:sz w:val="20"/>
          <w:szCs w:val="20"/>
        </w:rPr>
        <w:t xml:space="preserve">Award or </w:t>
      </w:r>
      <w:r w:rsidR="008E7B22" w:rsidRPr="00F518FA">
        <w:rPr>
          <w:sz w:val="20"/>
          <w:szCs w:val="20"/>
        </w:rPr>
        <w:t>Contract,</w:t>
      </w:r>
      <w:r w:rsidRPr="00F518FA">
        <w:rPr>
          <w:sz w:val="20"/>
          <w:szCs w:val="20"/>
        </w:rPr>
        <w:t xml:space="preserve"> or  deduct from the </w:t>
      </w:r>
      <w:r w:rsidR="00842E87" w:rsidRPr="00F518FA">
        <w:rPr>
          <w:sz w:val="20"/>
          <w:szCs w:val="20"/>
        </w:rPr>
        <w:t xml:space="preserve">Contract </w:t>
      </w:r>
      <w:r w:rsidRPr="00F518FA">
        <w:rPr>
          <w:sz w:val="20"/>
          <w:szCs w:val="20"/>
        </w:rPr>
        <w:t>price or otherwise recover the full amount of such commission, percentage, brokerage or contingent fee.</w:t>
      </w:r>
    </w:p>
    <w:p w14:paraId="75E4D53B" w14:textId="77777777" w:rsidR="00B65A59" w:rsidRPr="00F518FA" w:rsidRDefault="00B65A59" w:rsidP="00B57C4D">
      <w:pPr>
        <w:pStyle w:val="Heading2"/>
        <w:numPr>
          <w:ilvl w:val="1"/>
          <w:numId w:val="109"/>
        </w:numPr>
        <w:tabs>
          <w:tab w:val="clear" w:pos="2880"/>
        </w:tabs>
        <w:ind w:left="360"/>
      </w:pPr>
      <w:r w:rsidRPr="00F518FA">
        <w:t>Solicitation of State Employees</w:t>
      </w:r>
    </w:p>
    <w:p w14:paraId="66D5393C" w14:textId="77777777" w:rsidR="007D3D30" w:rsidRDefault="00B65A59" w:rsidP="00B36E61">
      <w:pPr>
        <w:ind w:left="360"/>
        <w:jc w:val="both"/>
        <w:rPr>
          <w:sz w:val="20"/>
          <w:szCs w:val="20"/>
        </w:rPr>
      </w:pPr>
      <w:r w:rsidRPr="00F518FA">
        <w:rPr>
          <w:sz w:val="20"/>
          <w:szCs w:val="20"/>
        </w:rPr>
        <w:t xml:space="preserve">During the RFP process, Vendors shall not, directly or indirectly, solicit any employee of OST to leave OST’s employ in order to accept employment with the Vendor, its affiliates, or any person acting in concert with Vendor, without </w:t>
      </w:r>
      <w:r w:rsidR="00BE7E61" w:rsidRPr="00F518FA">
        <w:rPr>
          <w:sz w:val="20"/>
          <w:szCs w:val="20"/>
        </w:rPr>
        <w:t xml:space="preserve">prior written approval of OST. </w:t>
      </w:r>
      <w:r w:rsidRPr="00F518FA">
        <w:rPr>
          <w:sz w:val="20"/>
          <w:szCs w:val="20"/>
        </w:rPr>
        <w:t>Solicitation of OST employees during the RFP process by a Vendor may result in rejection of the Vendor’s proposal</w:t>
      </w:r>
      <w:r w:rsidR="00D45D02" w:rsidRPr="00F518FA">
        <w:rPr>
          <w:sz w:val="20"/>
          <w:szCs w:val="20"/>
        </w:rPr>
        <w:t xml:space="preserve"> or annulment of any Award</w:t>
      </w:r>
      <w:r w:rsidRPr="00F518FA">
        <w:rPr>
          <w:sz w:val="20"/>
          <w:szCs w:val="20"/>
        </w:rPr>
        <w:t>.</w:t>
      </w:r>
      <w:r w:rsidR="007D3D30">
        <w:rPr>
          <w:sz w:val="20"/>
          <w:szCs w:val="20"/>
        </w:rPr>
        <w:br w:type="page"/>
      </w:r>
    </w:p>
    <w:p w14:paraId="1D0195EE" w14:textId="77777777" w:rsidR="00811530" w:rsidRDefault="00602445" w:rsidP="00A97C16">
      <w:pPr>
        <w:pStyle w:val="Heading1"/>
        <w:ind w:hanging="540"/>
      </w:pPr>
      <w:r w:rsidRPr="00F518FA">
        <w:t>Attachments and Appendices</w:t>
      </w:r>
    </w:p>
    <w:p w14:paraId="60E18AD9" w14:textId="77777777" w:rsidR="00B36E61" w:rsidRPr="000D0321" w:rsidRDefault="000D0321" w:rsidP="0041397F">
      <w:pPr>
        <w:ind w:left="360"/>
        <w:rPr>
          <w:sz w:val="20"/>
          <w:szCs w:val="20"/>
        </w:rPr>
      </w:pPr>
      <w:r w:rsidRPr="000D0321">
        <w:rPr>
          <w:sz w:val="20"/>
          <w:szCs w:val="20"/>
        </w:rPr>
        <w:t>The following</w:t>
      </w:r>
      <w:r>
        <w:rPr>
          <w:sz w:val="20"/>
          <w:szCs w:val="20"/>
        </w:rPr>
        <w:t xml:space="preserve"> items </w:t>
      </w:r>
      <w:proofErr w:type="gramStart"/>
      <w:r>
        <w:rPr>
          <w:sz w:val="20"/>
          <w:szCs w:val="20"/>
        </w:rPr>
        <w:t>are provided</w:t>
      </w:r>
      <w:proofErr w:type="gramEnd"/>
      <w:r>
        <w:rPr>
          <w:sz w:val="20"/>
          <w:szCs w:val="20"/>
        </w:rPr>
        <w:t xml:space="preserve"> for use in your</w:t>
      </w:r>
      <w:r w:rsidR="0038445A">
        <w:rPr>
          <w:sz w:val="20"/>
          <w:szCs w:val="20"/>
        </w:rPr>
        <w:t xml:space="preserve"> Firm’s</w:t>
      </w:r>
      <w:r>
        <w:rPr>
          <w:sz w:val="20"/>
          <w:szCs w:val="20"/>
        </w:rPr>
        <w:t xml:space="preserve"> RFP response. They are </w:t>
      </w:r>
      <w:r w:rsidR="00032D9A">
        <w:rPr>
          <w:sz w:val="20"/>
          <w:szCs w:val="20"/>
        </w:rPr>
        <w:t xml:space="preserve">broken into two sections, Attachments and Appendices. Attachments are required forms to </w:t>
      </w:r>
      <w:proofErr w:type="gramStart"/>
      <w:r w:rsidR="00032D9A">
        <w:rPr>
          <w:sz w:val="20"/>
          <w:szCs w:val="20"/>
        </w:rPr>
        <w:t>be submitted</w:t>
      </w:r>
      <w:proofErr w:type="gramEnd"/>
      <w:r w:rsidR="00032D9A">
        <w:rPr>
          <w:sz w:val="20"/>
          <w:szCs w:val="20"/>
        </w:rPr>
        <w:t xml:space="preserve"> with your proposal. These items </w:t>
      </w:r>
      <w:proofErr w:type="gramStart"/>
      <w:r w:rsidR="00032D9A">
        <w:rPr>
          <w:sz w:val="20"/>
          <w:szCs w:val="20"/>
        </w:rPr>
        <w:t>should be organized</w:t>
      </w:r>
      <w:proofErr w:type="gramEnd"/>
      <w:r w:rsidR="00032D9A">
        <w:rPr>
          <w:sz w:val="20"/>
          <w:szCs w:val="20"/>
        </w:rPr>
        <w:t xml:space="preserve"> in tabs as described in</w:t>
      </w:r>
      <w:r w:rsidR="00032D9A" w:rsidRPr="00AC1C73">
        <w:rPr>
          <w:sz w:val="20"/>
          <w:szCs w:val="20"/>
        </w:rPr>
        <w:t xml:space="preserve"> </w:t>
      </w:r>
      <w:r w:rsidR="00032D9A" w:rsidRPr="00F1064F">
        <w:rPr>
          <w:b/>
          <w:sz w:val="20"/>
          <w:szCs w:val="20"/>
        </w:rPr>
        <w:t xml:space="preserve">Section </w:t>
      </w:r>
      <w:r w:rsidR="00AC1C73" w:rsidRPr="00F1064F">
        <w:rPr>
          <w:b/>
          <w:sz w:val="20"/>
          <w:szCs w:val="20"/>
        </w:rPr>
        <w:t>V.A</w:t>
      </w:r>
      <w:r w:rsidR="00032D9A" w:rsidRPr="00AC1C73">
        <w:rPr>
          <w:sz w:val="20"/>
          <w:szCs w:val="20"/>
        </w:rPr>
        <w:t xml:space="preserve">. </w:t>
      </w:r>
      <w:r w:rsidR="005E42E5">
        <w:rPr>
          <w:sz w:val="20"/>
          <w:szCs w:val="20"/>
        </w:rPr>
        <w:t>Appendix items are provided as additional detail or information to assist in your proposal</w:t>
      </w:r>
      <w:r w:rsidR="00AC1C73">
        <w:rPr>
          <w:sz w:val="20"/>
          <w:szCs w:val="20"/>
        </w:rPr>
        <w:t xml:space="preserve"> response</w:t>
      </w:r>
      <w:r w:rsidR="005E42E5">
        <w:rPr>
          <w:sz w:val="20"/>
          <w:szCs w:val="20"/>
        </w:rPr>
        <w:t>.</w:t>
      </w:r>
    </w:p>
    <w:p w14:paraId="47989A4C" w14:textId="66B35C16" w:rsidR="00032D9A" w:rsidRPr="00B36E61" w:rsidRDefault="00DE5C6E" w:rsidP="00C81250">
      <w:pPr>
        <w:pStyle w:val="Heading2"/>
        <w:numPr>
          <w:ilvl w:val="1"/>
          <w:numId w:val="164"/>
        </w:numPr>
        <w:tabs>
          <w:tab w:val="clear" w:pos="2880"/>
          <w:tab w:val="num" w:pos="720"/>
        </w:tabs>
        <w:ind w:left="360"/>
      </w:pPr>
      <w:r>
        <w:fldChar w:fldCharType="begin"/>
      </w:r>
      <w:r>
        <w:instrText xml:space="preserve"> REF _Ref516152007 </w:instrText>
      </w:r>
      <w:r>
        <w:fldChar w:fldCharType="separate"/>
      </w:r>
      <w:r>
        <w:t>Notice of Intent to Respond</w:t>
      </w:r>
      <w:r>
        <w:fldChar w:fldCharType="end"/>
      </w:r>
    </w:p>
    <w:p w14:paraId="44642BED" w14:textId="77777777" w:rsidR="00DD798C" w:rsidRDefault="00032D9A" w:rsidP="00B57C4D">
      <w:pPr>
        <w:pStyle w:val="Heading2"/>
        <w:numPr>
          <w:ilvl w:val="1"/>
          <w:numId w:val="112"/>
        </w:numPr>
        <w:tabs>
          <w:tab w:val="clear" w:pos="2880"/>
        </w:tabs>
        <w:ind w:left="360"/>
      </w:pPr>
      <w:r>
        <w:t>Attachments (Required</w:t>
      </w:r>
      <w:r w:rsidR="00AC1C73">
        <w:t xml:space="preserve"> to Return</w:t>
      </w:r>
      <w:r>
        <w:t>)</w:t>
      </w:r>
    </w:p>
    <w:p w14:paraId="51F60687" w14:textId="77777777" w:rsidR="00B36E61" w:rsidRPr="00F518FA" w:rsidRDefault="00B36E61" w:rsidP="00DD798C">
      <w:pPr>
        <w:ind w:left="720"/>
        <w:jc w:val="both"/>
        <w:rPr>
          <w:sz w:val="20"/>
          <w:szCs w:val="20"/>
        </w:rPr>
      </w:pPr>
    </w:p>
    <w:p w14:paraId="6665444E" w14:textId="77777777" w:rsidR="00FE0D90" w:rsidRPr="00F518FA" w:rsidRDefault="00FE0D90" w:rsidP="00597464">
      <w:pPr>
        <w:tabs>
          <w:tab w:val="left" w:pos="2970"/>
        </w:tabs>
        <w:ind w:left="1080"/>
        <w:jc w:val="both"/>
        <w:rPr>
          <w:sz w:val="20"/>
          <w:szCs w:val="20"/>
        </w:rPr>
      </w:pPr>
      <w:r w:rsidRPr="00F518FA">
        <w:rPr>
          <w:sz w:val="20"/>
          <w:szCs w:val="20"/>
          <w:u w:val="single"/>
        </w:rPr>
        <w:t>Attachment 1</w:t>
      </w:r>
      <w:r w:rsidRPr="00F518FA">
        <w:rPr>
          <w:sz w:val="20"/>
          <w:szCs w:val="20"/>
        </w:rPr>
        <w:t xml:space="preserve"> </w:t>
      </w:r>
      <w:r w:rsidRPr="00F518FA">
        <w:rPr>
          <w:sz w:val="20"/>
          <w:szCs w:val="20"/>
        </w:rPr>
        <w:tab/>
      </w:r>
      <w:r>
        <w:rPr>
          <w:sz w:val="20"/>
          <w:szCs w:val="20"/>
        </w:rPr>
        <w:t xml:space="preserve">Vendor </w:t>
      </w:r>
      <w:r w:rsidRPr="00F518FA">
        <w:rPr>
          <w:sz w:val="20"/>
          <w:szCs w:val="20"/>
        </w:rPr>
        <w:t>Questionnaire</w:t>
      </w:r>
    </w:p>
    <w:p w14:paraId="55FA4751" w14:textId="77777777" w:rsidR="00FE0D90" w:rsidRPr="0005743F" w:rsidRDefault="00FE0D90" w:rsidP="00276D49">
      <w:pPr>
        <w:tabs>
          <w:tab w:val="left" w:pos="2970"/>
        </w:tabs>
        <w:ind w:left="1080"/>
        <w:jc w:val="both"/>
        <w:rPr>
          <w:sz w:val="20"/>
          <w:szCs w:val="20"/>
        </w:rPr>
      </w:pPr>
      <w:r w:rsidRPr="0005743F">
        <w:rPr>
          <w:sz w:val="20"/>
          <w:szCs w:val="20"/>
        </w:rPr>
        <w:t xml:space="preserve">  Attachment 1-A: </w:t>
      </w:r>
      <w:r w:rsidRPr="0005743F">
        <w:rPr>
          <w:sz w:val="20"/>
          <w:szCs w:val="20"/>
        </w:rPr>
        <w:tab/>
      </w:r>
      <w:r w:rsidR="000224A1">
        <w:rPr>
          <w:sz w:val="20"/>
          <w:szCs w:val="20"/>
        </w:rPr>
        <w:t>Local branch banking</w:t>
      </w:r>
      <w:r w:rsidRPr="0005743F">
        <w:rPr>
          <w:sz w:val="20"/>
          <w:szCs w:val="20"/>
        </w:rPr>
        <w:t xml:space="preserve"> </w:t>
      </w:r>
    </w:p>
    <w:p w14:paraId="7D8EC63D" w14:textId="77777777" w:rsidR="00FA3652" w:rsidRPr="00FA3652" w:rsidRDefault="00FA3652" w:rsidP="00844BA2">
      <w:pPr>
        <w:tabs>
          <w:tab w:val="left" w:pos="2970"/>
        </w:tabs>
        <w:ind w:left="1080"/>
        <w:jc w:val="both"/>
        <w:rPr>
          <w:sz w:val="20"/>
          <w:szCs w:val="20"/>
        </w:rPr>
      </w:pPr>
      <w:r>
        <w:rPr>
          <w:sz w:val="20"/>
          <w:szCs w:val="20"/>
          <w:u w:val="single"/>
        </w:rPr>
        <w:t>Attachment 2</w:t>
      </w:r>
      <w:r w:rsidRPr="00FA3652">
        <w:rPr>
          <w:sz w:val="20"/>
          <w:szCs w:val="20"/>
        </w:rPr>
        <w:tab/>
        <w:t>Requirements Matrix</w:t>
      </w:r>
      <w:r>
        <w:rPr>
          <w:sz w:val="20"/>
          <w:szCs w:val="20"/>
        </w:rPr>
        <w:t xml:space="preserve"> (</w:t>
      </w:r>
      <w:r w:rsidR="008B037F">
        <w:rPr>
          <w:sz w:val="20"/>
          <w:szCs w:val="20"/>
        </w:rPr>
        <w:t>A</w:t>
      </w:r>
      <w:r>
        <w:rPr>
          <w:sz w:val="20"/>
          <w:szCs w:val="20"/>
        </w:rPr>
        <w:t>ttached excel file)</w:t>
      </w:r>
    </w:p>
    <w:p w14:paraId="69580DDD" w14:textId="77777777"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3</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Confidential Information Form</w:t>
      </w:r>
    </w:p>
    <w:p w14:paraId="7218D34A" w14:textId="77777777"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4</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Schedule of Fees</w:t>
      </w:r>
      <w:r w:rsidR="00752980">
        <w:rPr>
          <w:rFonts w:ascii="Arial" w:eastAsia="Times New Roman" w:hAnsi="Arial" w:cs="Arial"/>
          <w:sz w:val="20"/>
          <w:szCs w:val="20"/>
        </w:rPr>
        <w:t xml:space="preserve"> (</w:t>
      </w:r>
      <w:r w:rsidR="008B037F">
        <w:rPr>
          <w:rFonts w:ascii="Arial" w:eastAsia="Times New Roman" w:hAnsi="Arial" w:cs="Arial"/>
          <w:sz w:val="20"/>
          <w:szCs w:val="20"/>
        </w:rPr>
        <w:t>A</w:t>
      </w:r>
      <w:r w:rsidR="00FA3652">
        <w:rPr>
          <w:rFonts w:ascii="Arial" w:eastAsia="Times New Roman" w:hAnsi="Arial" w:cs="Arial"/>
          <w:sz w:val="20"/>
          <w:szCs w:val="20"/>
        </w:rPr>
        <w:t xml:space="preserve">ttached </w:t>
      </w:r>
      <w:r w:rsidR="00752980">
        <w:rPr>
          <w:rFonts w:ascii="Arial" w:eastAsia="Times New Roman" w:hAnsi="Arial" w:cs="Arial"/>
          <w:sz w:val="20"/>
          <w:szCs w:val="20"/>
        </w:rPr>
        <w:t>excel file)</w:t>
      </w:r>
    </w:p>
    <w:p w14:paraId="3D6EAF53" w14:textId="77777777"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5</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Exception Form</w:t>
      </w:r>
    </w:p>
    <w:p w14:paraId="5A48DD4A" w14:textId="77777777"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6</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Business References</w:t>
      </w:r>
    </w:p>
    <w:p w14:paraId="385E4D6E" w14:textId="77777777"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7</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Non-Collusion Statement</w:t>
      </w:r>
    </w:p>
    <w:p w14:paraId="14CD3DDE" w14:textId="77777777" w:rsid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proofErr w:type="gramStart"/>
      <w:r w:rsidR="00977832">
        <w:rPr>
          <w:rFonts w:ascii="Arial" w:eastAsia="Times New Roman" w:hAnsi="Arial" w:cs="Arial"/>
          <w:sz w:val="20"/>
          <w:szCs w:val="20"/>
          <w:u w:val="single"/>
        </w:rPr>
        <w:t>8</w:t>
      </w:r>
      <w:proofErr w:type="gramEnd"/>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Employing Delawareans Report</w:t>
      </w:r>
    </w:p>
    <w:p w14:paraId="20CB3D60" w14:textId="77777777" w:rsidR="00032D9A" w:rsidRDefault="00032D9A" w:rsidP="00B57C4D">
      <w:pPr>
        <w:pStyle w:val="Heading2"/>
        <w:numPr>
          <w:ilvl w:val="1"/>
          <w:numId w:val="112"/>
        </w:numPr>
        <w:tabs>
          <w:tab w:val="clear" w:pos="2880"/>
        </w:tabs>
        <w:ind w:left="360"/>
      </w:pPr>
      <w:r>
        <w:t>Appendix (For information purposes only)</w:t>
      </w:r>
    </w:p>
    <w:p w14:paraId="2FFE498B" w14:textId="77777777" w:rsidR="002A380A" w:rsidRPr="00246418" w:rsidRDefault="002A380A" w:rsidP="00246418">
      <w:pPr>
        <w:ind w:left="720" w:firstLine="360"/>
        <w:rPr>
          <w:sz w:val="20"/>
          <w:szCs w:val="20"/>
        </w:rPr>
      </w:pPr>
      <w:r w:rsidRPr="00674DD1">
        <w:rPr>
          <w:sz w:val="20"/>
          <w:szCs w:val="20"/>
          <w:u w:val="single"/>
        </w:rPr>
        <w:t xml:space="preserve">Appendix </w:t>
      </w:r>
      <w:proofErr w:type="gramStart"/>
      <w:r w:rsidRPr="00674DD1">
        <w:rPr>
          <w:sz w:val="20"/>
          <w:szCs w:val="20"/>
          <w:u w:val="single"/>
        </w:rPr>
        <w:t>A</w:t>
      </w:r>
      <w:proofErr w:type="gramEnd"/>
      <w:r w:rsidRPr="00674DD1">
        <w:rPr>
          <w:sz w:val="20"/>
          <w:szCs w:val="20"/>
        </w:rPr>
        <w:tab/>
      </w:r>
      <w:r w:rsidRPr="00674DD1">
        <w:rPr>
          <w:sz w:val="20"/>
          <w:szCs w:val="20"/>
        </w:rPr>
        <w:tab/>
        <w:t>Scope of Services</w:t>
      </w:r>
    </w:p>
    <w:p w14:paraId="49581FC7" w14:textId="77777777" w:rsidR="00E374AA" w:rsidRPr="00246418" w:rsidRDefault="00E374AA" w:rsidP="00E374AA">
      <w:pPr>
        <w:ind w:left="720" w:firstLine="360"/>
        <w:rPr>
          <w:sz w:val="20"/>
          <w:szCs w:val="20"/>
        </w:rPr>
      </w:pPr>
      <w:r w:rsidRPr="00246418">
        <w:rPr>
          <w:sz w:val="20"/>
          <w:szCs w:val="20"/>
          <w:u w:val="single"/>
        </w:rPr>
        <w:t xml:space="preserve">Appendix </w:t>
      </w:r>
      <w:r>
        <w:rPr>
          <w:sz w:val="20"/>
          <w:szCs w:val="20"/>
          <w:u w:val="single"/>
        </w:rPr>
        <w:t>B</w:t>
      </w:r>
      <w:r w:rsidRPr="00246418">
        <w:rPr>
          <w:sz w:val="20"/>
          <w:szCs w:val="20"/>
        </w:rPr>
        <w:tab/>
      </w:r>
      <w:r w:rsidRPr="00246418">
        <w:rPr>
          <w:sz w:val="20"/>
          <w:szCs w:val="20"/>
        </w:rPr>
        <w:tab/>
        <w:t>Cash Management Policy Board Investment Guidelines</w:t>
      </w:r>
      <w:r w:rsidRPr="00246418" w:rsidDel="00F61C70">
        <w:rPr>
          <w:sz w:val="20"/>
          <w:szCs w:val="20"/>
        </w:rPr>
        <w:t xml:space="preserve"> </w:t>
      </w:r>
    </w:p>
    <w:p w14:paraId="54C7FDAB" w14:textId="77777777" w:rsidR="002A380A" w:rsidRPr="00246418" w:rsidRDefault="002A380A" w:rsidP="00246418">
      <w:pPr>
        <w:ind w:left="720" w:firstLine="360"/>
        <w:rPr>
          <w:sz w:val="20"/>
          <w:szCs w:val="20"/>
        </w:rPr>
      </w:pPr>
      <w:r w:rsidRPr="00246418">
        <w:rPr>
          <w:sz w:val="20"/>
          <w:szCs w:val="20"/>
          <w:u w:val="single"/>
        </w:rPr>
        <w:t xml:space="preserve">Appendix </w:t>
      </w:r>
      <w:r w:rsidR="00E374AA">
        <w:rPr>
          <w:sz w:val="20"/>
          <w:szCs w:val="20"/>
          <w:u w:val="single"/>
        </w:rPr>
        <w:t>C</w:t>
      </w:r>
      <w:r w:rsidRPr="00246418">
        <w:rPr>
          <w:sz w:val="20"/>
          <w:szCs w:val="20"/>
        </w:rPr>
        <w:tab/>
      </w:r>
      <w:r w:rsidRPr="00246418">
        <w:rPr>
          <w:sz w:val="20"/>
          <w:szCs w:val="20"/>
        </w:rPr>
        <w:tab/>
      </w:r>
      <w:r w:rsidR="00F61C70" w:rsidRPr="00246418">
        <w:rPr>
          <w:sz w:val="20"/>
          <w:szCs w:val="20"/>
        </w:rPr>
        <w:t>Delaware Cash Management Architecture</w:t>
      </w:r>
    </w:p>
    <w:p w14:paraId="175B63F0" w14:textId="77777777" w:rsidR="007A0C8B" w:rsidRPr="00246418" w:rsidRDefault="007A0C8B" w:rsidP="00246418">
      <w:pPr>
        <w:ind w:left="720" w:firstLine="360"/>
        <w:rPr>
          <w:sz w:val="20"/>
          <w:szCs w:val="20"/>
        </w:rPr>
      </w:pPr>
      <w:r w:rsidRPr="00246418">
        <w:rPr>
          <w:sz w:val="20"/>
          <w:szCs w:val="20"/>
        </w:rPr>
        <w:t xml:space="preserve">  Appendix </w:t>
      </w:r>
      <w:r w:rsidR="00E374AA">
        <w:rPr>
          <w:sz w:val="20"/>
          <w:szCs w:val="20"/>
        </w:rPr>
        <w:t>C</w:t>
      </w:r>
      <w:r w:rsidRPr="00246418">
        <w:rPr>
          <w:sz w:val="20"/>
          <w:szCs w:val="20"/>
        </w:rPr>
        <w:t>-1:        Delaware’s Current Cash Management Architecture</w:t>
      </w:r>
    </w:p>
    <w:p w14:paraId="2815A75C" w14:textId="77777777" w:rsidR="007A0C8B" w:rsidRPr="00246418" w:rsidRDefault="007A0C8B" w:rsidP="00246418">
      <w:pPr>
        <w:ind w:left="720" w:firstLine="360"/>
        <w:rPr>
          <w:sz w:val="20"/>
          <w:szCs w:val="20"/>
        </w:rPr>
      </w:pPr>
      <w:r w:rsidRPr="00246418">
        <w:rPr>
          <w:sz w:val="20"/>
          <w:szCs w:val="20"/>
        </w:rPr>
        <w:t xml:space="preserve">  Appendix </w:t>
      </w:r>
      <w:r w:rsidR="00E374AA">
        <w:rPr>
          <w:sz w:val="20"/>
          <w:szCs w:val="20"/>
        </w:rPr>
        <w:t>C</w:t>
      </w:r>
      <w:r w:rsidRPr="00246418">
        <w:rPr>
          <w:sz w:val="20"/>
          <w:szCs w:val="20"/>
        </w:rPr>
        <w:t xml:space="preserve">-2:        Delaware’s Proposed Cash Management Architecture </w:t>
      </w:r>
    </w:p>
    <w:p w14:paraId="61C23E99" w14:textId="77777777" w:rsidR="008B219F" w:rsidRDefault="002A380A" w:rsidP="00246418">
      <w:pPr>
        <w:ind w:left="720" w:firstLine="360"/>
        <w:rPr>
          <w:sz w:val="20"/>
          <w:szCs w:val="20"/>
        </w:rPr>
      </w:pPr>
      <w:r w:rsidRPr="00246418">
        <w:rPr>
          <w:sz w:val="20"/>
          <w:szCs w:val="20"/>
          <w:u w:val="single"/>
        </w:rPr>
        <w:t xml:space="preserve">Appendix </w:t>
      </w:r>
      <w:r w:rsidR="00E374AA">
        <w:rPr>
          <w:sz w:val="20"/>
          <w:szCs w:val="20"/>
          <w:u w:val="single"/>
        </w:rPr>
        <w:t>D</w:t>
      </w:r>
      <w:r w:rsidRPr="00246418">
        <w:rPr>
          <w:sz w:val="20"/>
          <w:szCs w:val="20"/>
        </w:rPr>
        <w:tab/>
      </w:r>
      <w:r w:rsidRPr="00246418">
        <w:rPr>
          <w:sz w:val="20"/>
          <w:szCs w:val="20"/>
        </w:rPr>
        <w:tab/>
      </w:r>
      <w:r w:rsidR="00F61C70" w:rsidRPr="00246418">
        <w:rPr>
          <w:sz w:val="20"/>
          <w:szCs w:val="20"/>
        </w:rPr>
        <w:t>Standard Terms and Conditions for Professional Services</w:t>
      </w:r>
    </w:p>
    <w:p w14:paraId="73E86D0A" w14:textId="77777777"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1</w:t>
      </w:r>
      <w:r>
        <w:rPr>
          <w:sz w:val="20"/>
          <w:szCs w:val="20"/>
        </w:rPr>
        <w:t>:</w:t>
      </w:r>
      <w:r w:rsidRPr="008B219F">
        <w:rPr>
          <w:sz w:val="20"/>
          <w:szCs w:val="20"/>
        </w:rPr>
        <w:t xml:space="preserve"> </w:t>
      </w:r>
      <w:r>
        <w:rPr>
          <w:sz w:val="20"/>
          <w:szCs w:val="20"/>
        </w:rPr>
        <w:tab/>
      </w:r>
      <w:r>
        <w:rPr>
          <w:sz w:val="20"/>
          <w:szCs w:val="20"/>
        </w:rPr>
        <w:tab/>
      </w:r>
      <w:r w:rsidRPr="00CC34E6">
        <w:rPr>
          <w:sz w:val="20"/>
          <w:szCs w:val="20"/>
        </w:rPr>
        <w:t xml:space="preserve">Statement of Work (To </w:t>
      </w:r>
      <w:proofErr w:type="gramStart"/>
      <w:r w:rsidRPr="00CC34E6">
        <w:rPr>
          <w:sz w:val="20"/>
          <w:szCs w:val="20"/>
        </w:rPr>
        <w:t>be negotiated</w:t>
      </w:r>
      <w:proofErr w:type="gramEnd"/>
      <w:r w:rsidRPr="00CC34E6">
        <w:rPr>
          <w:sz w:val="20"/>
          <w:szCs w:val="20"/>
        </w:rPr>
        <w:t>)</w:t>
      </w:r>
    </w:p>
    <w:p w14:paraId="36AC0355" w14:textId="77777777"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2</w:t>
      </w:r>
      <w:r>
        <w:rPr>
          <w:sz w:val="20"/>
          <w:szCs w:val="20"/>
        </w:rPr>
        <w:t>:</w:t>
      </w:r>
      <w:r w:rsidRPr="008B219F">
        <w:rPr>
          <w:sz w:val="20"/>
          <w:szCs w:val="20"/>
        </w:rPr>
        <w:t xml:space="preserve"> </w:t>
      </w:r>
      <w:r>
        <w:rPr>
          <w:sz w:val="20"/>
          <w:szCs w:val="20"/>
        </w:rPr>
        <w:tab/>
      </w:r>
      <w:r>
        <w:rPr>
          <w:sz w:val="20"/>
          <w:szCs w:val="20"/>
        </w:rPr>
        <w:tab/>
      </w:r>
      <w:r w:rsidRPr="008B219F">
        <w:rPr>
          <w:sz w:val="20"/>
          <w:szCs w:val="20"/>
        </w:rPr>
        <w:t xml:space="preserve">Schedule of Fees (To </w:t>
      </w:r>
      <w:proofErr w:type="gramStart"/>
      <w:r w:rsidRPr="008B219F">
        <w:rPr>
          <w:sz w:val="20"/>
          <w:szCs w:val="20"/>
        </w:rPr>
        <w:t>be negotiated</w:t>
      </w:r>
      <w:proofErr w:type="gramEnd"/>
      <w:r w:rsidRPr="008B219F">
        <w:rPr>
          <w:sz w:val="20"/>
          <w:szCs w:val="20"/>
        </w:rPr>
        <w:t>)</w:t>
      </w:r>
    </w:p>
    <w:p w14:paraId="0008A089" w14:textId="77777777" w:rsidR="008B219F" w:rsidRPr="008B219F" w:rsidRDefault="00236B3E" w:rsidP="008B219F">
      <w:pPr>
        <w:ind w:left="720" w:firstLine="360"/>
        <w:rPr>
          <w:sz w:val="20"/>
          <w:szCs w:val="20"/>
        </w:rPr>
      </w:pPr>
      <w:r>
        <w:rPr>
          <w:sz w:val="20"/>
          <w:szCs w:val="20"/>
        </w:rPr>
        <w:t xml:space="preserve"> </w:t>
      </w:r>
      <w:r w:rsidR="008B219F">
        <w:rPr>
          <w:sz w:val="20"/>
          <w:szCs w:val="20"/>
        </w:rPr>
        <w:t xml:space="preserve"> Exhibit 3: </w:t>
      </w:r>
      <w:r w:rsidR="008B219F">
        <w:rPr>
          <w:sz w:val="20"/>
          <w:szCs w:val="20"/>
        </w:rPr>
        <w:tab/>
      </w:r>
      <w:r w:rsidR="008B219F">
        <w:rPr>
          <w:sz w:val="20"/>
          <w:szCs w:val="20"/>
        </w:rPr>
        <w:tab/>
      </w:r>
      <w:r w:rsidR="008B219F" w:rsidRPr="008B219F">
        <w:rPr>
          <w:sz w:val="20"/>
          <w:szCs w:val="20"/>
        </w:rPr>
        <w:t>Implementation Plan (To be negotiated)</w:t>
      </w:r>
    </w:p>
    <w:p w14:paraId="28414A25" w14:textId="3047768A" w:rsidR="008B219F" w:rsidRPr="008B219F" w:rsidRDefault="008B219F" w:rsidP="008A5103">
      <w:pPr>
        <w:ind w:left="720" w:firstLine="360"/>
        <w:rPr>
          <w:sz w:val="20"/>
          <w:szCs w:val="20"/>
        </w:rPr>
      </w:pPr>
      <w:r>
        <w:rPr>
          <w:sz w:val="20"/>
          <w:szCs w:val="20"/>
        </w:rPr>
        <w:t xml:space="preserve"> </w:t>
      </w:r>
      <w:r w:rsidR="00236B3E">
        <w:rPr>
          <w:sz w:val="20"/>
          <w:szCs w:val="20"/>
        </w:rPr>
        <w:t xml:space="preserve"> </w:t>
      </w:r>
      <w:r w:rsidRPr="008B219F">
        <w:rPr>
          <w:sz w:val="20"/>
          <w:szCs w:val="20"/>
        </w:rPr>
        <w:t>Exhibit 4</w:t>
      </w:r>
      <w:r>
        <w:rPr>
          <w:sz w:val="20"/>
          <w:szCs w:val="20"/>
        </w:rPr>
        <w:t>:</w:t>
      </w:r>
      <w:r w:rsidRPr="008B219F">
        <w:rPr>
          <w:sz w:val="20"/>
          <w:szCs w:val="20"/>
        </w:rPr>
        <w:t xml:space="preserve"> </w:t>
      </w:r>
      <w:r>
        <w:rPr>
          <w:sz w:val="20"/>
          <w:szCs w:val="20"/>
        </w:rPr>
        <w:tab/>
      </w:r>
      <w:r>
        <w:rPr>
          <w:sz w:val="20"/>
          <w:szCs w:val="20"/>
        </w:rPr>
        <w:tab/>
      </w:r>
      <w:r w:rsidRPr="008B219F">
        <w:rPr>
          <w:sz w:val="20"/>
          <w:szCs w:val="20"/>
        </w:rPr>
        <w:t xml:space="preserve">Confidentiality (Non-Disclosure) </w:t>
      </w:r>
      <w:r>
        <w:rPr>
          <w:sz w:val="20"/>
          <w:szCs w:val="20"/>
        </w:rPr>
        <w:t xml:space="preserve">- Integrity of Data Agreement </w:t>
      </w:r>
      <w:r w:rsidRPr="008B219F">
        <w:rPr>
          <w:sz w:val="20"/>
          <w:szCs w:val="20"/>
        </w:rPr>
        <w:t>(Attached)</w:t>
      </w:r>
    </w:p>
    <w:p w14:paraId="6BC6416F" w14:textId="7BED9C83" w:rsidR="002A380A" w:rsidRPr="008B219F" w:rsidRDefault="002A380A" w:rsidP="00246418">
      <w:pPr>
        <w:ind w:left="720" w:firstLine="360"/>
        <w:rPr>
          <w:sz w:val="20"/>
          <w:szCs w:val="20"/>
        </w:rPr>
      </w:pPr>
      <w:r w:rsidRPr="00246418">
        <w:rPr>
          <w:sz w:val="20"/>
          <w:szCs w:val="20"/>
          <w:u w:val="single"/>
        </w:rPr>
        <w:t>Appendix E</w:t>
      </w:r>
      <w:r w:rsidRPr="008B219F">
        <w:rPr>
          <w:sz w:val="20"/>
          <w:szCs w:val="20"/>
        </w:rPr>
        <w:tab/>
      </w:r>
      <w:r w:rsidRPr="008B219F">
        <w:rPr>
          <w:sz w:val="20"/>
          <w:szCs w:val="20"/>
        </w:rPr>
        <w:tab/>
      </w:r>
      <w:r w:rsidR="00A27D5B">
        <w:rPr>
          <w:sz w:val="20"/>
          <w:szCs w:val="20"/>
        </w:rPr>
        <w:t xml:space="preserve">General </w:t>
      </w:r>
      <w:bookmarkStart w:id="0" w:name="_GoBack"/>
      <w:bookmarkEnd w:id="0"/>
      <w:r w:rsidR="00F61C70" w:rsidRPr="008B219F">
        <w:rPr>
          <w:sz w:val="20"/>
          <w:szCs w:val="20"/>
        </w:rPr>
        <w:t>DTI Requirements &amp; Guidelines</w:t>
      </w:r>
      <w:r w:rsidR="00F61C70" w:rsidRPr="008B219F" w:rsidDel="00F61C70">
        <w:rPr>
          <w:sz w:val="20"/>
          <w:szCs w:val="20"/>
        </w:rPr>
        <w:t xml:space="preserve"> </w:t>
      </w:r>
    </w:p>
    <w:p w14:paraId="546668EF" w14:textId="77777777" w:rsidR="00F61C70" w:rsidRPr="004E5850" w:rsidRDefault="00F61C70" w:rsidP="004E5850">
      <w:pPr>
        <w:rPr>
          <w:b/>
        </w:rPr>
      </w:pPr>
    </w:p>
    <w:p w14:paraId="77D47030" w14:textId="77777777" w:rsidR="00032D9A" w:rsidRPr="00D970C3" w:rsidRDefault="004B0819" w:rsidP="00CD00E2">
      <w:pPr>
        <w:pStyle w:val="Heading4"/>
      </w:pPr>
      <w:r>
        <w:br w:type="page"/>
      </w:r>
      <w:bookmarkStart w:id="1" w:name="_Ref516152007"/>
      <w:r w:rsidR="00032D9A">
        <w:t>Notice of Intent</w:t>
      </w:r>
      <w:r w:rsidR="00A87459">
        <w:t xml:space="preserve"> to Respond</w:t>
      </w:r>
      <w:bookmarkEnd w:id="1"/>
    </w:p>
    <w:p w14:paraId="2BE0D9B3" w14:textId="77777777" w:rsidR="00032D9A" w:rsidRPr="00BE7E61" w:rsidRDefault="00032D9A" w:rsidP="00032D9A">
      <w:pPr>
        <w:rPr>
          <w:sz w:val="20"/>
          <w:szCs w:val="20"/>
        </w:rPr>
      </w:pPr>
      <w:r w:rsidRPr="00BE7E61">
        <w:rPr>
          <w:sz w:val="20"/>
          <w:szCs w:val="20"/>
        </w:rPr>
        <w:t xml:space="preserve">CONTRACT NUMBER:  </w:t>
      </w:r>
      <w:r w:rsidR="00513CFF">
        <w:rPr>
          <w:sz w:val="20"/>
          <w:szCs w:val="20"/>
        </w:rPr>
        <w:t>TRE19202</w:t>
      </w:r>
      <w:r w:rsidR="00D664D7">
        <w:rPr>
          <w:sz w:val="20"/>
          <w:szCs w:val="20"/>
        </w:rPr>
        <w:t>-</w:t>
      </w:r>
      <w:r w:rsidR="00513CFF">
        <w:rPr>
          <w:sz w:val="20"/>
          <w:szCs w:val="20"/>
        </w:rPr>
        <w:t>LOCALBANKS</w:t>
      </w:r>
    </w:p>
    <w:p w14:paraId="6C0C7008" w14:textId="77777777" w:rsidR="00D921D8" w:rsidRPr="00D921D8" w:rsidRDefault="00D921D8">
      <w:pPr>
        <w:rPr>
          <w:sz w:val="20"/>
          <w:szCs w:val="20"/>
        </w:rPr>
      </w:pPr>
    </w:p>
    <w:p w14:paraId="3432D21A" w14:textId="77777777" w:rsidR="00D921D8" w:rsidRDefault="00D921D8" w:rsidP="00D921D8">
      <w:pPr>
        <w:autoSpaceDE w:val="0"/>
        <w:autoSpaceDN w:val="0"/>
        <w:adjustRightInd w:val="0"/>
        <w:rPr>
          <w:rFonts w:eastAsia="Calibri"/>
          <w:sz w:val="20"/>
          <w:szCs w:val="20"/>
        </w:rPr>
      </w:pPr>
    </w:p>
    <w:p w14:paraId="1CB2F834" w14:textId="77777777" w:rsidR="00D921D8" w:rsidRDefault="00D921D8" w:rsidP="00D921D8">
      <w:pPr>
        <w:autoSpaceDE w:val="0"/>
        <w:autoSpaceDN w:val="0"/>
        <w:adjustRightInd w:val="0"/>
        <w:rPr>
          <w:rFonts w:eastAsia="Calibri"/>
          <w:sz w:val="20"/>
          <w:szCs w:val="20"/>
        </w:rPr>
      </w:pPr>
      <w:r>
        <w:rPr>
          <w:rFonts w:eastAsia="Calibri"/>
          <w:sz w:val="20"/>
          <w:szCs w:val="20"/>
        </w:rPr>
        <w:t xml:space="preserve">__________________________________ (Name of Firm) received the above </w:t>
      </w:r>
      <w:r w:rsidR="00A87459">
        <w:rPr>
          <w:rFonts w:eastAsia="Calibri"/>
          <w:sz w:val="20"/>
          <w:szCs w:val="20"/>
        </w:rPr>
        <w:t>solicitation.</w:t>
      </w:r>
    </w:p>
    <w:p w14:paraId="18E8A4AE" w14:textId="77777777" w:rsidR="00A87459" w:rsidRDefault="00A87459" w:rsidP="00D921D8">
      <w:pPr>
        <w:autoSpaceDE w:val="0"/>
        <w:autoSpaceDN w:val="0"/>
        <w:adjustRightInd w:val="0"/>
        <w:rPr>
          <w:rFonts w:eastAsia="Calibri"/>
          <w:sz w:val="20"/>
          <w:szCs w:val="20"/>
        </w:rPr>
      </w:pPr>
    </w:p>
    <w:p w14:paraId="30026D1F" w14:textId="77777777" w:rsidR="00A87459" w:rsidRDefault="00A87459" w:rsidP="00D921D8">
      <w:pPr>
        <w:autoSpaceDE w:val="0"/>
        <w:autoSpaceDN w:val="0"/>
        <w:adjustRightInd w:val="0"/>
        <w:rPr>
          <w:rFonts w:eastAsia="Calibri"/>
          <w:sz w:val="20"/>
          <w:szCs w:val="20"/>
        </w:rPr>
      </w:pPr>
    </w:p>
    <w:p w14:paraId="682103CB" w14:textId="77777777" w:rsidR="00A87459" w:rsidRDefault="00A87459" w:rsidP="00D921D8">
      <w:pPr>
        <w:autoSpaceDE w:val="0"/>
        <w:autoSpaceDN w:val="0"/>
        <w:adjustRightInd w:val="0"/>
        <w:rPr>
          <w:rFonts w:eastAsia="Calibri"/>
          <w:sz w:val="20"/>
          <w:szCs w:val="20"/>
        </w:rPr>
      </w:pPr>
      <w:r>
        <w:rPr>
          <w:rFonts w:eastAsia="Calibri"/>
          <w:sz w:val="20"/>
          <w:szCs w:val="20"/>
        </w:rPr>
        <w:t>We have reviewed the solicitation and we:</w:t>
      </w:r>
    </w:p>
    <w:p w14:paraId="559B722A" w14:textId="77777777" w:rsidR="00A87459" w:rsidRDefault="00A87459" w:rsidP="00D921D8">
      <w:pPr>
        <w:autoSpaceDE w:val="0"/>
        <w:autoSpaceDN w:val="0"/>
        <w:adjustRightInd w:val="0"/>
        <w:rPr>
          <w:rFonts w:eastAsia="Calibri"/>
          <w:sz w:val="20"/>
          <w:szCs w:val="20"/>
        </w:rPr>
      </w:pPr>
    </w:p>
    <w:p w14:paraId="477792EB" w14:textId="77777777" w:rsidR="00A87459" w:rsidRDefault="00597464" w:rsidP="00D921D8">
      <w:pPr>
        <w:autoSpaceDE w:val="0"/>
        <w:autoSpaceDN w:val="0"/>
        <w:adjustRightInd w:val="0"/>
        <w:rPr>
          <w:rFonts w:eastAsia="Calibri"/>
          <w:sz w:val="20"/>
          <w:szCs w:val="20"/>
        </w:rPr>
      </w:pPr>
      <w:r>
        <w:rPr>
          <w:rFonts w:eastAsia="Calibri"/>
          <w:sz w:val="20"/>
          <w:szCs w:val="20"/>
        </w:rPr>
        <w:sym w:font="Wingdings" w:char="F06F"/>
      </w:r>
      <w:r>
        <w:rPr>
          <w:rFonts w:eastAsia="Calibri"/>
          <w:sz w:val="20"/>
          <w:szCs w:val="20"/>
        </w:rPr>
        <w:t xml:space="preserve"> </w:t>
      </w:r>
      <w:r w:rsidR="00A87459">
        <w:rPr>
          <w:rFonts w:eastAsia="Calibri"/>
          <w:sz w:val="20"/>
          <w:szCs w:val="20"/>
        </w:rPr>
        <w:t>Intend to submi</w:t>
      </w:r>
      <w:r w:rsidR="00CE01E2">
        <w:rPr>
          <w:rFonts w:eastAsia="Calibri"/>
          <w:sz w:val="20"/>
          <w:szCs w:val="20"/>
        </w:rPr>
        <w:t xml:space="preserve">t a proposal </w:t>
      </w:r>
    </w:p>
    <w:p w14:paraId="514C1D28" w14:textId="77777777" w:rsidR="00A87459" w:rsidRDefault="00A87459" w:rsidP="00D921D8">
      <w:pPr>
        <w:autoSpaceDE w:val="0"/>
        <w:autoSpaceDN w:val="0"/>
        <w:adjustRightInd w:val="0"/>
        <w:rPr>
          <w:rFonts w:eastAsia="Calibri"/>
          <w:sz w:val="20"/>
          <w:szCs w:val="20"/>
        </w:rPr>
      </w:pPr>
    </w:p>
    <w:p w14:paraId="700774ED" w14:textId="77777777" w:rsidR="00A87459" w:rsidRDefault="00A87459" w:rsidP="00D921D8">
      <w:pPr>
        <w:autoSpaceDE w:val="0"/>
        <w:autoSpaceDN w:val="0"/>
        <w:adjustRightInd w:val="0"/>
        <w:rPr>
          <w:rFonts w:eastAsia="Calibri"/>
          <w:sz w:val="20"/>
          <w:szCs w:val="20"/>
        </w:rPr>
      </w:pPr>
      <w:r>
        <w:rPr>
          <w:rFonts w:eastAsia="Calibri"/>
          <w:sz w:val="20"/>
          <w:szCs w:val="20"/>
        </w:rPr>
        <w:sym w:font="Wingdings" w:char="F06F"/>
      </w:r>
      <w:r>
        <w:rPr>
          <w:rFonts w:eastAsia="Calibri"/>
          <w:sz w:val="20"/>
          <w:szCs w:val="20"/>
        </w:rPr>
        <w:t xml:space="preserve"> Do not intend to submit a proposal</w:t>
      </w:r>
    </w:p>
    <w:p w14:paraId="691D896D" w14:textId="77777777" w:rsidR="00A87459" w:rsidRDefault="00A87459" w:rsidP="00D921D8">
      <w:pPr>
        <w:autoSpaceDE w:val="0"/>
        <w:autoSpaceDN w:val="0"/>
        <w:adjustRightInd w:val="0"/>
        <w:rPr>
          <w:rFonts w:eastAsia="Calibri"/>
          <w:sz w:val="20"/>
          <w:szCs w:val="20"/>
        </w:rPr>
      </w:pPr>
    </w:p>
    <w:p w14:paraId="2D2E1901" w14:textId="77777777"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Reason:</w:t>
      </w:r>
      <w:r>
        <w:rPr>
          <w:rFonts w:eastAsia="Calibri"/>
          <w:sz w:val="20"/>
          <w:szCs w:val="20"/>
        </w:rPr>
        <w:tab/>
      </w:r>
    </w:p>
    <w:p w14:paraId="5C81FF3F" w14:textId="77777777" w:rsidR="00A87459" w:rsidRDefault="00A87459" w:rsidP="00D921D8">
      <w:pPr>
        <w:autoSpaceDE w:val="0"/>
        <w:autoSpaceDN w:val="0"/>
        <w:adjustRightInd w:val="0"/>
        <w:rPr>
          <w:rFonts w:eastAsia="Calibri"/>
          <w:sz w:val="20"/>
          <w:szCs w:val="20"/>
        </w:rPr>
      </w:pPr>
    </w:p>
    <w:p w14:paraId="022A0376" w14:textId="77777777" w:rsidR="00A87459" w:rsidRDefault="00A87459" w:rsidP="00A87459">
      <w:pPr>
        <w:tabs>
          <w:tab w:val="right" w:leader="underscore" w:pos="9360"/>
        </w:tabs>
        <w:autoSpaceDE w:val="0"/>
        <w:autoSpaceDN w:val="0"/>
        <w:adjustRightInd w:val="0"/>
        <w:rPr>
          <w:rFonts w:eastAsia="Calibri"/>
          <w:sz w:val="20"/>
          <w:szCs w:val="20"/>
        </w:rPr>
      </w:pPr>
    </w:p>
    <w:p w14:paraId="20D364BD" w14:textId="77777777"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Firm Representative:</w:t>
      </w:r>
      <w:r>
        <w:rPr>
          <w:rFonts w:eastAsia="Calibri"/>
          <w:sz w:val="20"/>
          <w:szCs w:val="20"/>
        </w:rPr>
        <w:tab/>
      </w:r>
    </w:p>
    <w:p w14:paraId="68CC7A35" w14:textId="77777777" w:rsidR="00A87459" w:rsidRDefault="00A87459" w:rsidP="00A87459">
      <w:pPr>
        <w:tabs>
          <w:tab w:val="right" w:leader="underscore" w:pos="9360"/>
        </w:tabs>
        <w:autoSpaceDE w:val="0"/>
        <w:autoSpaceDN w:val="0"/>
        <w:adjustRightInd w:val="0"/>
        <w:rPr>
          <w:rFonts w:eastAsia="Calibri"/>
          <w:sz w:val="20"/>
          <w:szCs w:val="20"/>
        </w:rPr>
      </w:pPr>
    </w:p>
    <w:p w14:paraId="0779220B" w14:textId="77777777"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Title:</w:t>
      </w:r>
      <w:r>
        <w:rPr>
          <w:rFonts w:eastAsia="Calibri"/>
          <w:sz w:val="20"/>
          <w:szCs w:val="20"/>
        </w:rPr>
        <w:tab/>
      </w:r>
    </w:p>
    <w:p w14:paraId="4D1BAADB" w14:textId="77777777" w:rsidR="00A87459" w:rsidRDefault="00A87459" w:rsidP="00A87459">
      <w:pPr>
        <w:tabs>
          <w:tab w:val="right" w:leader="underscore" w:pos="9360"/>
        </w:tabs>
        <w:autoSpaceDE w:val="0"/>
        <w:autoSpaceDN w:val="0"/>
        <w:adjustRightInd w:val="0"/>
        <w:rPr>
          <w:rFonts w:eastAsia="Calibri"/>
          <w:sz w:val="20"/>
          <w:szCs w:val="20"/>
        </w:rPr>
      </w:pPr>
    </w:p>
    <w:p w14:paraId="39766981" w14:textId="77777777"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Telephone:</w:t>
      </w:r>
      <w:r>
        <w:rPr>
          <w:rFonts w:eastAsia="Calibri"/>
          <w:sz w:val="20"/>
          <w:szCs w:val="20"/>
        </w:rPr>
        <w:tab/>
      </w:r>
    </w:p>
    <w:p w14:paraId="0EBA3A74" w14:textId="77777777" w:rsidR="00A87459" w:rsidRDefault="00A87459" w:rsidP="00A87459">
      <w:pPr>
        <w:tabs>
          <w:tab w:val="right" w:leader="underscore" w:pos="9360"/>
        </w:tabs>
        <w:autoSpaceDE w:val="0"/>
        <w:autoSpaceDN w:val="0"/>
        <w:adjustRightInd w:val="0"/>
        <w:rPr>
          <w:rFonts w:eastAsia="Calibri"/>
          <w:sz w:val="20"/>
          <w:szCs w:val="20"/>
        </w:rPr>
      </w:pPr>
    </w:p>
    <w:p w14:paraId="19613DA6" w14:textId="77777777"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Email Address:</w:t>
      </w:r>
      <w:r>
        <w:rPr>
          <w:rFonts w:eastAsia="Calibri"/>
          <w:sz w:val="20"/>
          <w:szCs w:val="20"/>
        </w:rPr>
        <w:tab/>
      </w:r>
    </w:p>
    <w:p w14:paraId="4286C40C" w14:textId="77777777" w:rsidR="00A87459" w:rsidRDefault="00A87459" w:rsidP="00D921D8">
      <w:pPr>
        <w:autoSpaceDE w:val="0"/>
        <w:autoSpaceDN w:val="0"/>
        <w:adjustRightInd w:val="0"/>
        <w:rPr>
          <w:rFonts w:eastAsia="Calibri"/>
          <w:sz w:val="20"/>
          <w:szCs w:val="20"/>
        </w:rPr>
      </w:pPr>
    </w:p>
    <w:p w14:paraId="471BE9C9" w14:textId="77777777" w:rsidR="00D921D8" w:rsidRDefault="00D921D8" w:rsidP="00D921D8">
      <w:pPr>
        <w:autoSpaceDE w:val="0"/>
        <w:autoSpaceDN w:val="0"/>
        <w:adjustRightInd w:val="0"/>
        <w:rPr>
          <w:rFonts w:eastAsia="Calibri"/>
          <w:sz w:val="20"/>
          <w:szCs w:val="20"/>
        </w:rPr>
      </w:pPr>
    </w:p>
    <w:p w14:paraId="14E48D4D" w14:textId="28974E42" w:rsidR="00A87459" w:rsidRPr="00B41CB7" w:rsidRDefault="00D921D8" w:rsidP="00A87459">
      <w:pPr>
        <w:autoSpaceDE w:val="0"/>
        <w:autoSpaceDN w:val="0"/>
        <w:adjustRightInd w:val="0"/>
        <w:rPr>
          <w:sz w:val="20"/>
          <w:szCs w:val="20"/>
        </w:rPr>
      </w:pPr>
      <w:r w:rsidRPr="00D921D8">
        <w:rPr>
          <w:rFonts w:eastAsia="Calibri"/>
          <w:sz w:val="20"/>
          <w:szCs w:val="20"/>
        </w:rPr>
        <w:t xml:space="preserve">Please return this </w:t>
      </w:r>
      <w:r w:rsidRPr="00A87459">
        <w:rPr>
          <w:rFonts w:eastAsia="Calibri"/>
          <w:sz w:val="20"/>
          <w:szCs w:val="20"/>
        </w:rPr>
        <w:t>N</w:t>
      </w:r>
      <w:r w:rsidR="00AC1C73">
        <w:rPr>
          <w:rFonts w:eastAsia="Calibri"/>
          <w:sz w:val="20"/>
          <w:szCs w:val="20"/>
        </w:rPr>
        <w:t xml:space="preserve">otice of Intent to </w:t>
      </w:r>
      <w:proofErr w:type="gramStart"/>
      <w:r w:rsidR="00AC1C73">
        <w:rPr>
          <w:rFonts w:eastAsia="Calibri"/>
          <w:sz w:val="20"/>
          <w:szCs w:val="20"/>
        </w:rPr>
        <w:t>Respond</w:t>
      </w:r>
      <w:proofErr w:type="gramEnd"/>
      <w:r w:rsidR="00AC1C73">
        <w:rPr>
          <w:rFonts w:eastAsia="Calibri"/>
          <w:sz w:val="20"/>
          <w:szCs w:val="20"/>
        </w:rPr>
        <w:t xml:space="preserve"> via</w:t>
      </w:r>
      <w:r w:rsidRPr="00A87459">
        <w:rPr>
          <w:rFonts w:eastAsia="Calibri"/>
          <w:sz w:val="20"/>
          <w:szCs w:val="20"/>
        </w:rPr>
        <w:t xml:space="preserve"> email </w:t>
      </w:r>
      <w:r w:rsidRPr="00D921D8">
        <w:rPr>
          <w:rFonts w:eastAsia="Calibri"/>
          <w:sz w:val="20"/>
          <w:szCs w:val="20"/>
        </w:rPr>
        <w:t>by 4:00</w:t>
      </w:r>
      <w:r w:rsidR="00AC1C73">
        <w:rPr>
          <w:rFonts w:eastAsia="Calibri"/>
          <w:sz w:val="20"/>
          <w:szCs w:val="20"/>
        </w:rPr>
        <w:t xml:space="preserve"> p.m. </w:t>
      </w:r>
      <w:r w:rsidR="00A87459">
        <w:rPr>
          <w:rFonts w:eastAsia="Calibri"/>
          <w:sz w:val="20"/>
          <w:szCs w:val="20"/>
        </w:rPr>
        <w:t>E</w:t>
      </w:r>
      <w:r w:rsidRPr="00D921D8">
        <w:rPr>
          <w:rFonts w:eastAsia="Calibri"/>
          <w:sz w:val="20"/>
          <w:szCs w:val="20"/>
        </w:rPr>
        <w:t>T</w:t>
      </w:r>
      <w:r w:rsidR="00AC1C73">
        <w:rPr>
          <w:rFonts w:eastAsia="Calibri"/>
          <w:sz w:val="20"/>
          <w:szCs w:val="20"/>
        </w:rPr>
        <w:t xml:space="preserve">, </w:t>
      </w:r>
      <w:r w:rsidR="006057AC">
        <w:rPr>
          <w:rFonts w:eastAsia="Calibri"/>
          <w:sz w:val="20"/>
          <w:szCs w:val="20"/>
        </w:rPr>
        <w:t>March 1</w:t>
      </w:r>
      <w:r w:rsidR="00CF5DCC">
        <w:rPr>
          <w:rFonts w:eastAsia="Calibri"/>
          <w:sz w:val="20"/>
          <w:szCs w:val="20"/>
        </w:rPr>
        <w:t>5</w:t>
      </w:r>
      <w:r w:rsidR="006057AC">
        <w:rPr>
          <w:rFonts w:eastAsia="Calibri"/>
          <w:sz w:val="20"/>
          <w:szCs w:val="20"/>
        </w:rPr>
        <w:t>, 2019,</w:t>
      </w:r>
      <w:r w:rsidRPr="00D921D8">
        <w:rPr>
          <w:rFonts w:eastAsia="Calibri"/>
          <w:sz w:val="20"/>
          <w:szCs w:val="20"/>
        </w:rPr>
        <w:t xml:space="preserve"> to</w:t>
      </w:r>
      <w:r w:rsidR="00A87459">
        <w:rPr>
          <w:rFonts w:eastAsia="Calibri"/>
          <w:sz w:val="20"/>
          <w:szCs w:val="20"/>
        </w:rPr>
        <w:t xml:space="preserve"> Joshua Berkow</w:t>
      </w:r>
      <w:r w:rsidR="006057AC">
        <w:rPr>
          <w:rFonts w:eastAsia="Calibri"/>
          <w:sz w:val="20"/>
          <w:szCs w:val="20"/>
        </w:rPr>
        <w:t xml:space="preserve"> at </w:t>
      </w:r>
      <w:hyperlink r:id="rId21" w:history="1">
        <w:r w:rsidR="006057AC" w:rsidRPr="00977714">
          <w:rPr>
            <w:rStyle w:val="Hyperlink"/>
            <w:rFonts w:eastAsia="Calibri"/>
            <w:sz w:val="20"/>
            <w:szCs w:val="20"/>
          </w:rPr>
          <w:t>Treasury_RFP@delaware.gov</w:t>
        </w:r>
      </w:hyperlink>
      <w:r w:rsidR="006057AC">
        <w:rPr>
          <w:rFonts w:eastAsia="Calibri"/>
          <w:sz w:val="20"/>
          <w:szCs w:val="20"/>
        </w:rPr>
        <w:t>.</w:t>
      </w:r>
    </w:p>
    <w:p w14:paraId="1F0D8F2D" w14:textId="77777777" w:rsidR="00A87459" w:rsidRDefault="00A87459" w:rsidP="00D921D8">
      <w:pPr>
        <w:tabs>
          <w:tab w:val="left" w:pos="720"/>
        </w:tabs>
        <w:jc w:val="both"/>
        <w:rPr>
          <w:rFonts w:eastAsia="Calibri" w:cs="Times New Roman"/>
          <w:sz w:val="20"/>
          <w:szCs w:val="20"/>
        </w:rPr>
      </w:pPr>
    </w:p>
    <w:p w14:paraId="663A80C5" w14:textId="77777777" w:rsidR="004772A2" w:rsidRPr="004772A2" w:rsidRDefault="00A87459" w:rsidP="00D921D8">
      <w:pPr>
        <w:tabs>
          <w:tab w:val="left" w:pos="720"/>
        </w:tabs>
        <w:jc w:val="both"/>
        <w:rPr>
          <w:rFonts w:eastAsia="Calibri" w:cs="Times New Roman"/>
          <w:b/>
          <w:sz w:val="20"/>
          <w:szCs w:val="20"/>
        </w:rPr>
      </w:pPr>
      <w:r w:rsidRPr="00A87459">
        <w:rPr>
          <w:rFonts w:eastAsia="Calibri" w:cs="Times New Roman"/>
          <w:b/>
          <w:sz w:val="20"/>
          <w:szCs w:val="20"/>
        </w:rPr>
        <w:t xml:space="preserve">Please note: It is not required that you return this </w:t>
      </w:r>
      <w:r w:rsidR="00AC1C73">
        <w:rPr>
          <w:rFonts w:eastAsia="Calibri" w:cs="Times New Roman"/>
          <w:b/>
          <w:sz w:val="20"/>
          <w:szCs w:val="20"/>
        </w:rPr>
        <w:t>Notice of I</w:t>
      </w:r>
      <w:r w:rsidRPr="00A87459">
        <w:rPr>
          <w:rFonts w:eastAsia="Calibri" w:cs="Times New Roman"/>
          <w:b/>
          <w:sz w:val="20"/>
          <w:szCs w:val="20"/>
        </w:rPr>
        <w:t xml:space="preserve">ntent to Respond by the above date and time in order to submit a proposal. However, doing so will ensure that you receive all addenda and responses for clarification. </w:t>
      </w:r>
      <w:r w:rsidR="004772A2" w:rsidRPr="004772A2">
        <w:rPr>
          <w:b/>
          <w:sz w:val="20"/>
          <w:szCs w:val="20"/>
        </w:rPr>
        <w:t xml:space="preserve">Submitting the Notice of Intent to </w:t>
      </w:r>
      <w:proofErr w:type="gramStart"/>
      <w:r w:rsidR="004772A2" w:rsidRPr="004772A2">
        <w:rPr>
          <w:b/>
          <w:sz w:val="20"/>
          <w:szCs w:val="20"/>
        </w:rPr>
        <w:t>Respond</w:t>
      </w:r>
      <w:proofErr w:type="gramEnd"/>
      <w:r w:rsidR="004772A2">
        <w:rPr>
          <w:b/>
          <w:sz w:val="20"/>
          <w:szCs w:val="20"/>
        </w:rPr>
        <w:t xml:space="preserve"> </w:t>
      </w:r>
      <w:r w:rsidR="004772A2" w:rsidRPr="004772A2">
        <w:rPr>
          <w:b/>
          <w:sz w:val="20"/>
          <w:szCs w:val="20"/>
        </w:rPr>
        <w:t xml:space="preserve">does not obligate the prospective </w:t>
      </w:r>
      <w:r w:rsidR="00EA2DC6">
        <w:rPr>
          <w:b/>
          <w:sz w:val="20"/>
          <w:szCs w:val="20"/>
        </w:rPr>
        <w:t xml:space="preserve">Vendor </w:t>
      </w:r>
      <w:r w:rsidR="004772A2" w:rsidRPr="004772A2">
        <w:rPr>
          <w:b/>
          <w:sz w:val="20"/>
          <w:szCs w:val="20"/>
        </w:rPr>
        <w:t>in any way.</w:t>
      </w:r>
    </w:p>
    <w:p w14:paraId="6D6AF415" w14:textId="77777777" w:rsidR="00032D9A" w:rsidRPr="00D921D8" w:rsidRDefault="00032D9A">
      <w:pPr>
        <w:rPr>
          <w:rFonts w:ascii="Arial Black" w:hAnsi="Arial Black"/>
          <w:b/>
          <w:sz w:val="20"/>
          <w:szCs w:val="20"/>
        </w:rPr>
      </w:pPr>
      <w:r w:rsidRPr="00D921D8">
        <w:rPr>
          <w:sz w:val="20"/>
          <w:szCs w:val="20"/>
        </w:rPr>
        <w:br w:type="page"/>
      </w:r>
    </w:p>
    <w:p w14:paraId="3B22C6C3" w14:textId="77777777" w:rsidR="00D970C3" w:rsidRPr="00D970C3" w:rsidRDefault="000C4ED2" w:rsidP="00D970C3">
      <w:pPr>
        <w:pStyle w:val="Heading4"/>
      </w:pPr>
      <w:r w:rsidRPr="00D970C3">
        <w:t xml:space="preserve">Attachment 1:  </w:t>
      </w:r>
      <w:r w:rsidR="00D970C3" w:rsidRPr="00D970C3">
        <w:t xml:space="preserve">Vendor </w:t>
      </w:r>
      <w:r w:rsidRPr="00D970C3">
        <w:t>Questionnaire</w:t>
      </w:r>
    </w:p>
    <w:p w14:paraId="402FE781" w14:textId="77777777" w:rsidR="000C4ED2" w:rsidRPr="00BE7E61" w:rsidRDefault="000C4ED2" w:rsidP="000C4ED2">
      <w:pPr>
        <w:rPr>
          <w:sz w:val="20"/>
          <w:szCs w:val="20"/>
        </w:rPr>
      </w:pPr>
      <w:r w:rsidRPr="00BE7E61">
        <w:rPr>
          <w:sz w:val="20"/>
          <w:szCs w:val="20"/>
        </w:rPr>
        <w:t xml:space="preserve">CONTRACT NUMBER:  </w:t>
      </w:r>
      <w:r w:rsidR="00B86238">
        <w:rPr>
          <w:sz w:val="20"/>
          <w:szCs w:val="20"/>
        </w:rPr>
        <w:t>TRE19202-LOCALBANKS</w:t>
      </w:r>
    </w:p>
    <w:p w14:paraId="08D11057" w14:textId="77777777" w:rsidR="000C4ED2" w:rsidRDefault="000C4ED2" w:rsidP="000C4ED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576C903A" w14:textId="77777777" w:rsidR="00A2376C" w:rsidRPr="00FA5364" w:rsidRDefault="00523525" w:rsidP="00303F48">
      <w:pPr>
        <w:pStyle w:val="Heading5"/>
        <w:numPr>
          <w:ilvl w:val="0"/>
          <w:numId w:val="92"/>
        </w:numPr>
      </w:pPr>
      <w:r>
        <w:t>Vendor</w:t>
      </w:r>
      <w:r w:rsidR="00A2376C" w:rsidRPr="00FA5364">
        <w:t xml:space="preserve"> Background</w:t>
      </w:r>
      <w:r w:rsidR="00FD1C49">
        <w:t xml:space="preserve"> &amp; </w:t>
      </w:r>
      <w:r w:rsidR="00C179C2" w:rsidRPr="00FA5364">
        <w:t>General Information</w:t>
      </w:r>
    </w:p>
    <w:p w14:paraId="7AE5EADE" w14:textId="77777777" w:rsidR="00A2376C" w:rsidRPr="00C179C2" w:rsidRDefault="00A2376C" w:rsidP="00A2376C">
      <w:pPr>
        <w:spacing w:line="240" w:lineRule="exact"/>
        <w:ind w:left="720"/>
        <w:jc w:val="both"/>
        <w:rPr>
          <w:b/>
          <w:sz w:val="20"/>
          <w:szCs w:val="20"/>
          <w:u w:val="single"/>
        </w:rPr>
      </w:pPr>
    </w:p>
    <w:p w14:paraId="617032C5" w14:textId="77777777" w:rsidR="00A2376C" w:rsidRPr="00C179C2" w:rsidRDefault="00A2376C" w:rsidP="004231A5">
      <w:pPr>
        <w:widowControl w:val="0"/>
        <w:numPr>
          <w:ilvl w:val="0"/>
          <w:numId w:val="13"/>
        </w:numPr>
        <w:autoSpaceDE w:val="0"/>
        <w:autoSpaceDN w:val="0"/>
        <w:adjustRightInd w:val="0"/>
        <w:contextualSpacing/>
        <w:rPr>
          <w:sz w:val="20"/>
          <w:szCs w:val="20"/>
        </w:rPr>
      </w:pPr>
      <w:r w:rsidRPr="00C179C2">
        <w:rPr>
          <w:sz w:val="20"/>
          <w:szCs w:val="20"/>
          <w:u w:val="single"/>
        </w:rPr>
        <w:t>History/Values</w:t>
      </w:r>
      <w:r w:rsidRPr="00C179C2">
        <w:rPr>
          <w:sz w:val="20"/>
          <w:szCs w:val="20"/>
        </w:rPr>
        <w:t xml:space="preserve">. Describe in detail the history of your </w:t>
      </w:r>
      <w:r w:rsidR="006C6534">
        <w:rPr>
          <w:sz w:val="20"/>
          <w:szCs w:val="20"/>
        </w:rPr>
        <w:t>F</w:t>
      </w:r>
      <w:r w:rsidRPr="00C179C2">
        <w:rPr>
          <w:sz w:val="20"/>
          <w:szCs w:val="20"/>
        </w:rPr>
        <w:t>irm, including your founding values and core principles.</w:t>
      </w:r>
      <w:r w:rsidR="00CB6C54" w:rsidRPr="00C179C2">
        <w:rPr>
          <w:sz w:val="20"/>
          <w:szCs w:val="20"/>
        </w:rPr>
        <w:t xml:space="preserve"> </w:t>
      </w:r>
    </w:p>
    <w:p w14:paraId="28588D9A" w14:textId="77777777" w:rsidR="00A2376C" w:rsidRPr="00C179C2" w:rsidRDefault="00A2376C" w:rsidP="00A2376C">
      <w:pPr>
        <w:widowControl w:val="0"/>
        <w:autoSpaceDE w:val="0"/>
        <w:autoSpaceDN w:val="0"/>
        <w:adjustRightInd w:val="0"/>
        <w:ind w:left="720"/>
        <w:contextualSpacing/>
        <w:rPr>
          <w:sz w:val="20"/>
          <w:szCs w:val="20"/>
        </w:rPr>
      </w:pPr>
    </w:p>
    <w:p w14:paraId="683D2535" w14:textId="77777777" w:rsidR="00A2376C" w:rsidRPr="00622180" w:rsidRDefault="00A2376C" w:rsidP="004231A5">
      <w:pPr>
        <w:pStyle w:val="ListParagraph"/>
        <w:widowControl w:val="0"/>
        <w:numPr>
          <w:ilvl w:val="0"/>
          <w:numId w:val="13"/>
        </w:numPr>
        <w:autoSpaceDE w:val="0"/>
        <w:autoSpaceDN w:val="0"/>
        <w:adjustRightInd w:val="0"/>
        <w:contextualSpacing/>
        <w:rPr>
          <w:color w:val="000000"/>
          <w:sz w:val="20"/>
          <w:szCs w:val="20"/>
        </w:rPr>
      </w:pPr>
      <w:r w:rsidRPr="00622180">
        <w:rPr>
          <w:sz w:val="20"/>
          <w:szCs w:val="20"/>
          <w:u w:val="single"/>
        </w:rPr>
        <w:t>Ownership</w:t>
      </w:r>
      <w:r w:rsidRPr="00622180">
        <w:rPr>
          <w:sz w:val="20"/>
          <w:szCs w:val="20"/>
        </w:rPr>
        <w:t xml:space="preserve">. Describe your </w:t>
      </w:r>
      <w:r w:rsidR="00321114">
        <w:rPr>
          <w:sz w:val="20"/>
          <w:szCs w:val="20"/>
        </w:rPr>
        <w:t>F</w:t>
      </w:r>
      <w:r w:rsidRPr="00622180">
        <w:rPr>
          <w:sz w:val="20"/>
          <w:szCs w:val="20"/>
        </w:rPr>
        <w:t xml:space="preserve">irm’s current ownership structure. Include any pending agreements or announced plans to merge, sell or significantly change the ownership structure of the </w:t>
      </w:r>
      <w:r w:rsidR="00321114">
        <w:rPr>
          <w:sz w:val="20"/>
          <w:szCs w:val="20"/>
        </w:rPr>
        <w:t>F</w:t>
      </w:r>
      <w:r w:rsidRPr="00622180">
        <w:rPr>
          <w:sz w:val="20"/>
          <w:szCs w:val="20"/>
        </w:rPr>
        <w:t>irm or any material portion thereof. Describe any material changes in ownership during the past five years.</w:t>
      </w:r>
    </w:p>
    <w:p w14:paraId="0CC96169" w14:textId="77777777" w:rsidR="00CB6C54" w:rsidRPr="00C179C2" w:rsidRDefault="00CB6C54" w:rsidP="00CB6C54">
      <w:pPr>
        <w:pStyle w:val="ListParagraph"/>
        <w:rPr>
          <w:color w:val="000000"/>
          <w:sz w:val="20"/>
          <w:szCs w:val="20"/>
        </w:rPr>
      </w:pPr>
    </w:p>
    <w:p w14:paraId="24AAB5FD" w14:textId="77777777" w:rsidR="00CB6C54" w:rsidRPr="00C179C2" w:rsidRDefault="00CB6C54" w:rsidP="004231A5">
      <w:pPr>
        <w:pStyle w:val="ListParagraph"/>
        <w:numPr>
          <w:ilvl w:val="0"/>
          <w:numId w:val="13"/>
        </w:numPr>
        <w:rPr>
          <w:color w:val="000000"/>
          <w:sz w:val="20"/>
          <w:szCs w:val="20"/>
        </w:rPr>
      </w:pPr>
      <w:r w:rsidRPr="00C179C2">
        <w:rPr>
          <w:color w:val="000000"/>
          <w:sz w:val="20"/>
          <w:szCs w:val="20"/>
          <w:u w:val="single"/>
        </w:rPr>
        <w:t>Experience</w:t>
      </w:r>
      <w:r w:rsidRPr="00C179C2">
        <w:rPr>
          <w:color w:val="000000"/>
          <w:sz w:val="20"/>
          <w:szCs w:val="20"/>
        </w:rPr>
        <w:t>. Describe your</w:t>
      </w:r>
      <w:r w:rsidR="00652C0B">
        <w:rPr>
          <w:color w:val="000000"/>
          <w:sz w:val="20"/>
          <w:szCs w:val="20"/>
        </w:rPr>
        <w:t xml:space="preserve"> Firm’s</w:t>
      </w:r>
      <w:r w:rsidRPr="00C179C2">
        <w:rPr>
          <w:color w:val="000000"/>
          <w:sz w:val="20"/>
          <w:szCs w:val="20"/>
        </w:rPr>
        <w:t xml:space="preserve"> experience providing similar services for government entities, specifically states, if possible.</w:t>
      </w:r>
    </w:p>
    <w:p w14:paraId="44147145" w14:textId="77777777" w:rsidR="00CB6C54" w:rsidRPr="00C179C2" w:rsidRDefault="00CB6C54" w:rsidP="00CB6C54">
      <w:pPr>
        <w:pStyle w:val="ListParagraph"/>
        <w:rPr>
          <w:color w:val="000000"/>
          <w:sz w:val="20"/>
          <w:szCs w:val="20"/>
        </w:rPr>
      </w:pPr>
    </w:p>
    <w:p w14:paraId="5F4A2D0C" w14:textId="77777777" w:rsidR="00CB6C54" w:rsidRPr="00C179C2" w:rsidRDefault="00CB6C54" w:rsidP="004231A5">
      <w:pPr>
        <w:pStyle w:val="ListParagraph"/>
        <w:numPr>
          <w:ilvl w:val="0"/>
          <w:numId w:val="13"/>
        </w:numPr>
        <w:rPr>
          <w:color w:val="000000"/>
          <w:sz w:val="20"/>
          <w:szCs w:val="20"/>
        </w:rPr>
      </w:pPr>
      <w:r w:rsidRPr="00C179C2">
        <w:rPr>
          <w:color w:val="000000"/>
          <w:sz w:val="20"/>
          <w:szCs w:val="20"/>
          <w:u w:val="single"/>
        </w:rPr>
        <w:t>Credit Ratings</w:t>
      </w:r>
      <w:r w:rsidRPr="00C179C2">
        <w:rPr>
          <w:color w:val="000000"/>
          <w:sz w:val="20"/>
          <w:szCs w:val="20"/>
        </w:rPr>
        <w:t xml:space="preserve">. Complete the following table with current credit ratings by Standard &amp; Poor’s Rating Services and Moody’s Investor Services. If the </w:t>
      </w:r>
      <w:r w:rsidR="00321114">
        <w:rPr>
          <w:color w:val="000000"/>
          <w:sz w:val="20"/>
          <w:szCs w:val="20"/>
        </w:rPr>
        <w:t>F</w:t>
      </w:r>
      <w:r w:rsidRPr="00C179C2">
        <w:rPr>
          <w:color w:val="000000"/>
          <w:sz w:val="20"/>
          <w:szCs w:val="20"/>
        </w:rPr>
        <w:t xml:space="preserve">irm </w:t>
      </w:r>
      <w:proofErr w:type="gramStart"/>
      <w:r w:rsidRPr="00C179C2">
        <w:rPr>
          <w:color w:val="000000"/>
          <w:sz w:val="20"/>
          <w:szCs w:val="20"/>
        </w:rPr>
        <w:t>is not rated</w:t>
      </w:r>
      <w:proofErr w:type="gramEnd"/>
      <w:r w:rsidRPr="00C179C2">
        <w:rPr>
          <w:color w:val="000000"/>
          <w:sz w:val="20"/>
          <w:szCs w:val="20"/>
        </w:rPr>
        <w:t xml:space="preserve"> by these organizations, provide other evidence of the </w:t>
      </w:r>
      <w:r w:rsidR="00321114">
        <w:rPr>
          <w:color w:val="000000"/>
          <w:sz w:val="20"/>
          <w:szCs w:val="20"/>
        </w:rPr>
        <w:t>F</w:t>
      </w:r>
      <w:r w:rsidRPr="00C179C2">
        <w:rPr>
          <w:color w:val="000000"/>
          <w:sz w:val="20"/>
          <w:szCs w:val="20"/>
        </w:rPr>
        <w:t>irm’s financial strength.</w:t>
      </w:r>
    </w:p>
    <w:p w14:paraId="3BAEFC0D" w14:textId="77777777" w:rsidR="00CB6C54" w:rsidRPr="00CB6C54" w:rsidRDefault="00CB6C54" w:rsidP="00CB6C54">
      <w:pPr>
        <w:pStyle w:val="ListParagraph"/>
        <w:rPr>
          <w:color w:val="000000"/>
          <w:szCs w:val="22"/>
        </w:rPr>
      </w:pPr>
    </w:p>
    <w:tbl>
      <w:tblPr>
        <w:tblW w:w="8370" w:type="dxa"/>
        <w:tblInd w:w="72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0"/>
        <w:gridCol w:w="2520"/>
        <w:gridCol w:w="2610"/>
      </w:tblGrid>
      <w:tr w:rsidR="00CB6C54" w:rsidRPr="00CB6C54" w14:paraId="745CD6D5" w14:textId="77777777" w:rsidTr="00924C95">
        <w:trPr>
          <w:trHeight w:val="426"/>
        </w:trPr>
        <w:tc>
          <w:tcPr>
            <w:tcW w:w="3240" w:type="dxa"/>
            <w:tcBorders>
              <w:bottom w:val="single" w:sz="8" w:space="0" w:color="auto"/>
            </w:tcBorders>
            <w:shd w:val="clear" w:color="auto" w:fill="FFFFFF"/>
            <w:vAlign w:val="center"/>
          </w:tcPr>
          <w:p w14:paraId="43085EA2" w14:textId="77777777" w:rsidR="00CB6C54" w:rsidRPr="00CB6C54" w:rsidRDefault="00CB6C54" w:rsidP="00CB6C54">
            <w:pPr>
              <w:ind w:left="1080"/>
              <w:rPr>
                <w:rFonts w:eastAsia="Calibri"/>
                <w:sz w:val="18"/>
                <w:szCs w:val="18"/>
              </w:rPr>
            </w:pPr>
          </w:p>
        </w:tc>
        <w:tc>
          <w:tcPr>
            <w:tcW w:w="2520" w:type="dxa"/>
            <w:tcBorders>
              <w:top w:val="single" w:sz="8" w:space="0" w:color="auto"/>
              <w:bottom w:val="single" w:sz="8" w:space="0" w:color="auto"/>
            </w:tcBorders>
            <w:shd w:val="clear" w:color="auto" w:fill="F2F2F2"/>
            <w:vAlign w:val="center"/>
          </w:tcPr>
          <w:p w14:paraId="33233383" w14:textId="77777777" w:rsidR="00CB6C54" w:rsidRPr="00CB6C54" w:rsidRDefault="00CB6C54" w:rsidP="00CB6C54">
            <w:pPr>
              <w:ind w:left="-108"/>
              <w:jc w:val="center"/>
              <w:rPr>
                <w:rFonts w:eastAsia="Calibri"/>
                <w:b/>
                <w:sz w:val="18"/>
                <w:szCs w:val="18"/>
              </w:rPr>
            </w:pPr>
            <w:r w:rsidRPr="00CB6C54">
              <w:rPr>
                <w:rFonts w:eastAsia="Calibri"/>
                <w:b/>
                <w:sz w:val="18"/>
                <w:szCs w:val="18"/>
              </w:rPr>
              <w:t>Standard &amp; Poor’s Rating</w:t>
            </w:r>
          </w:p>
        </w:tc>
        <w:tc>
          <w:tcPr>
            <w:tcW w:w="2610" w:type="dxa"/>
            <w:tcBorders>
              <w:top w:val="single" w:sz="8" w:space="0" w:color="auto"/>
              <w:bottom w:val="single" w:sz="8" w:space="0" w:color="auto"/>
            </w:tcBorders>
            <w:shd w:val="clear" w:color="auto" w:fill="F2F2F2"/>
            <w:vAlign w:val="center"/>
          </w:tcPr>
          <w:p w14:paraId="687BE714" w14:textId="77777777" w:rsidR="00CB6C54" w:rsidRPr="00CB6C54" w:rsidRDefault="00CB6C54" w:rsidP="00CB6C54">
            <w:pPr>
              <w:ind w:left="-108"/>
              <w:jc w:val="center"/>
              <w:rPr>
                <w:rFonts w:eastAsia="Calibri"/>
                <w:b/>
                <w:sz w:val="18"/>
                <w:szCs w:val="18"/>
              </w:rPr>
            </w:pPr>
            <w:r w:rsidRPr="00CB6C54">
              <w:rPr>
                <w:rFonts w:eastAsia="Calibri"/>
                <w:b/>
                <w:sz w:val="18"/>
                <w:szCs w:val="18"/>
              </w:rPr>
              <w:t>Moody’s Investor Services</w:t>
            </w:r>
          </w:p>
        </w:tc>
      </w:tr>
      <w:tr w:rsidR="00CB6C54" w:rsidRPr="00CB6C54" w14:paraId="375ADDBD" w14:textId="77777777" w:rsidTr="00924C95">
        <w:trPr>
          <w:trHeight w:val="435"/>
        </w:trPr>
        <w:tc>
          <w:tcPr>
            <w:tcW w:w="8370" w:type="dxa"/>
            <w:gridSpan w:val="3"/>
            <w:tcBorders>
              <w:top w:val="single" w:sz="8" w:space="0" w:color="auto"/>
              <w:left w:val="single" w:sz="8" w:space="0" w:color="auto"/>
            </w:tcBorders>
            <w:shd w:val="clear" w:color="auto" w:fill="F2F2F2"/>
            <w:vAlign w:val="center"/>
            <w:hideMark/>
          </w:tcPr>
          <w:p w14:paraId="28AAB127" w14:textId="77777777" w:rsidR="00CB6C54" w:rsidRPr="00CB6C54" w:rsidRDefault="00CB6C54" w:rsidP="00CB6C54">
            <w:pPr>
              <w:ind w:left="27"/>
              <w:rPr>
                <w:rFonts w:eastAsia="Calibri"/>
                <w:b/>
                <w:sz w:val="18"/>
                <w:szCs w:val="18"/>
              </w:rPr>
            </w:pPr>
            <w:r w:rsidRPr="00CB6C54">
              <w:rPr>
                <w:rFonts w:eastAsia="Calibri"/>
                <w:b/>
                <w:sz w:val="18"/>
                <w:szCs w:val="18"/>
              </w:rPr>
              <w:t>Firm / Bank</w:t>
            </w:r>
          </w:p>
        </w:tc>
      </w:tr>
      <w:tr w:rsidR="00CB6C54" w:rsidRPr="00CB6C54" w14:paraId="0082C580" w14:textId="77777777" w:rsidTr="00924C95">
        <w:trPr>
          <w:trHeight w:val="435"/>
        </w:trPr>
        <w:tc>
          <w:tcPr>
            <w:tcW w:w="3240" w:type="dxa"/>
            <w:tcBorders>
              <w:top w:val="single" w:sz="8" w:space="0" w:color="auto"/>
              <w:left w:val="single" w:sz="8" w:space="0" w:color="auto"/>
            </w:tcBorders>
            <w:shd w:val="clear" w:color="auto" w:fill="FFFFFF"/>
            <w:vAlign w:val="center"/>
          </w:tcPr>
          <w:p w14:paraId="33F97AD2" w14:textId="77777777" w:rsidR="00CB6C54" w:rsidRPr="00CB6C54" w:rsidRDefault="00CB6C54" w:rsidP="00CB6C54">
            <w:pPr>
              <w:ind w:left="27"/>
              <w:rPr>
                <w:rFonts w:eastAsia="Calibri"/>
                <w:sz w:val="18"/>
                <w:szCs w:val="18"/>
              </w:rPr>
            </w:pPr>
            <w:r w:rsidRPr="00CB6C54">
              <w:rPr>
                <w:rFonts w:eastAsia="Calibri"/>
                <w:sz w:val="18"/>
                <w:szCs w:val="18"/>
              </w:rPr>
              <w:t>Short-Term Unsecured Senior Debt</w:t>
            </w:r>
          </w:p>
        </w:tc>
        <w:tc>
          <w:tcPr>
            <w:tcW w:w="2520" w:type="dxa"/>
            <w:tcBorders>
              <w:top w:val="single" w:sz="8" w:space="0" w:color="auto"/>
            </w:tcBorders>
            <w:shd w:val="clear" w:color="auto" w:fill="auto"/>
            <w:vAlign w:val="center"/>
          </w:tcPr>
          <w:p w14:paraId="04E997FE"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1078AC9D" w14:textId="77777777" w:rsidR="00CB6C54" w:rsidRPr="00CB6C54" w:rsidRDefault="00CB6C54" w:rsidP="00CB6C54">
            <w:pPr>
              <w:ind w:left="27"/>
              <w:rPr>
                <w:rFonts w:eastAsia="Calibri"/>
                <w:sz w:val="18"/>
                <w:szCs w:val="18"/>
              </w:rPr>
            </w:pPr>
          </w:p>
        </w:tc>
      </w:tr>
      <w:tr w:rsidR="00CB6C54" w:rsidRPr="00CB6C54" w14:paraId="2BBB8299" w14:textId="77777777" w:rsidTr="00924C95">
        <w:trPr>
          <w:trHeight w:val="435"/>
        </w:trPr>
        <w:tc>
          <w:tcPr>
            <w:tcW w:w="3240" w:type="dxa"/>
            <w:tcBorders>
              <w:top w:val="single" w:sz="8" w:space="0" w:color="auto"/>
              <w:left w:val="single" w:sz="8" w:space="0" w:color="auto"/>
            </w:tcBorders>
            <w:shd w:val="clear" w:color="auto" w:fill="FFFFFF"/>
            <w:vAlign w:val="center"/>
            <w:hideMark/>
          </w:tcPr>
          <w:p w14:paraId="33DF7766" w14:textId="77777777" w:rsidR="00CB6C54" w:rsidRPr="00CB6C54" w:rsidRDefault="00CB6C54" w:rsidP="00CB6C54">
            <w:pPr>
              <w:ind w:left="27"/>
              <w:rPr>
                <w:rFonts w:eastAsia="Calibri"/>
                <w:sz w:val="18"/>
                <w:szCs w:val="18"/>
              </w:rPr>
            </w:pPr>
            <w:r w:rsidRPr="00CB6C54">
              <w:rPr>
                <w:rFonts w:eastAsia="Calibri"/>
                <w:sz w:val="18"/>
                <w:szCs w:val="18"/>
              </w:rPr>
              <w:t>Long-Term Unsecured Senior Debt</w:t>
            </w:r>
          </w:p>
        </w:tc>
        <w:tc>
          <w:tcPr>
            <w:tcW w:w="2520" w:type="dxa"/>
            <w:tcBorders>
              <w:top w:val="single" w:sz="8" w:space="0" w:color="auto"/>
            </w:tcBorders>
            <w:shd w:val="clear" w:color="auto" w:fill="auto"/>
            <w:vAlign w:val="center"/>
          </w:tcPr>
          <w:p w14:paraId="1EF44ADE"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1CE8D837" w14:textId="77777777" w:rsidR="00CB6C54" w:rsidRPr="00CB6C54" w:rsidRDefault="00CB6C54" w:rsidP="00CB6C54">
            <w:pPr>
              <w:ind w:left="27"/>
              <w:rPr>
                <w:rFonts w:eastAsia="Calibri"/>
                <w:sz w:val="18"/>
                <w:szCs w:val="18"/>
              </w:rPr>
            </w:pPr>
          </w:p>
        </w:tc>
      </w:tr>
      <w:tr w:rsidR="00CB6C54" w:rsidRPr="00CB6C54" w14:paraId="0568810F" w14:textId="77777777" w:rsidTr="00924C95">
        <w:trPr>
          <w:trHeight w:val="435"/>
        </w:trPr>
        <w:tc>
          <w:tcPr>
            <w:tcW w:w="8370" w:type="dxa"/>
            <w:gridSpan w:val="3"/>
            <w:tcBorders>
              <w:top w:val="single" w:sz="8" w:space="0" w:color="auto"/>
              <w:left w:val="single" w:sz="8" w:space="0" w:color="auto"/>
            </w:tcBorders>
            <w:shd w:val="clear" w:color="auto" w:fill="F2F2F2"/>
            <w:vAlign w:val="center"/>
            <w:hideMark/>
          </w:tcPr>
          <w:p w14:paraId="538DE3C9" w14:textId="77777777" w:rsidR="00CB6C54" w:rsidRPr="00CB6C54" w:rsidRDefault="00CB6C54" w:rsidP="00CB6C54">
            <w:pPr>
              <w:ind w:left="27"/>
              <w:rPr>
                <w:rFonts w:eastAsia="Calibri"/>
                <w:b/>
                <w:sz w:val="18"/>
                <w:szCs w:val="18"/>
              </w:rPr>
            </w:pPr>
            <w:r w:rsidRPr="00CB6C54">
              <w:rPr>
                <w:rFonts w:eastAsia="Calibri"/>
                <w:b/>
                <w:sz w:val="18"/>
                <w:szCs w:val="18"/>
              </w:rPr>
              <w:t>Bank Holding Company</w:t>
            </w:r>
          </w:p>
        </w:tc>
      </w:tr>
      <w:tr w:rsidR="00CB6C54" w:rsidRPr="00CB6C54" w14:paraId="4BF06098" w14:textId="77777777" w:rsidTr="00924C95">
        <w:trPr>
          <w:trHeight w:val="435"/>
        </w:trPr>
        <w:tc>
          <w:tcPr>
            <w:tcW w:w="3240" w:type="dxa"/>
            <w:tcBorders>
              <w:top w:val="single" w:sz="8" w:space="0" w:color="auto"/>
              <w:left w:val="single" w:sz="8" w:space="0" w:color="auto"/>
            </w:tcBorders>
            <w:shd w:val="clear" w:color="auto" w:fill="FFFFFF"/>
            <w:vAlign w:val="center"/>
          </w:tcPr>
          <w:p w14:paraId="152BCEF4" w14:textId="77777777" w:rsidR="00CB6C54" w:rsidRPr="00CB6C54" w:rsidRDefault="00CB6C54" w:rsidP="00CB6C54">
            <w:pPr>
              <w:ind w:left="27"/>
              <w:rPr>
                <w:rFonts w:eastAsia="Calibri"/>
                <w:sz w:val="18"/>
                <w:szCs w:val="18"/>
              </w:rPr>
            </w:pPr>
            <w:r w:rsidRPr="00CB6C54">
              <w:rPr>
                <w:rFonts w:eastAsia="Calibri"/>
                <w:sz w:val="18"/>
                <w:szCs w:val="18"/>
              </w:rPr>
              <w:t>Short-Term Unsecured Senior Debt</w:t>
            </w:r>
          </w:p>
        </w:tc>
        <w:tc>
          <w:tcPr>
            <w:tcW w:w="2520" w:type="dxa"/>
            <w:tcBorders>
              <w:top w:val="single" w:sz="8" w:space="0" w:color="auto"/>
            </w:tcBorders>
            <w:shd w:val="clear" w:color="auto" w:fill="auto"/>
            <w:vAlign w:val="center"/>
          </w:tcPr>
          <w:p w14:paraId="4CAF2A73"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76FC6660" w14:textId="77777777" w:rsidR="00CB6C54" w:rsidRPr="00CB6C54" w:rsidRDefault="00CB6C54" w:rsidP="00CB6C54">
            <w:pPr>
              <w:ind w:left="27"/>
              <w:rPr>
                <w:rFonts w:eastAsia="Calibri"/>
                <w:sz w:val="18"/>
                <w:szCs w:val="18"/>
              </w:rPr>
            </w:pPr>
          </w:p>
        </w:tc>
      </w:tr>
      <w:tr w:rsidR="00CB6C54" w:rsidRPr="00CB6C54" w14:paraId="3AB2E720" w14:textId="77777777" w:rsidTr="00924C95">
        <w:trPr>
          <w:trHeight w:val="435"/>
        </w:trPr>
        <w:tc>
          <w:tcPr>
            <w:tcW w:w="3240" w:type="dxa"/>
            <w:tcBorders>
              <w:top w:val="single" w:sz="8" w:space="0" w:color="auto"/>
              <w:left w:val="single" w:sz="8" w:space="0" w:color="auto"/>
            </w:tcBorders>
            <w:shd w:val="clear" w:color="auto" w:fill="FFFFFF"/>
            <w:vAlign w:val="center"/>
            <w:hideMark/>
          </w:tcPr>
          <w:p w14:paraId="5FB67A76" w14:textId="77777777" w:rsidR="00CB6C54" w:rsidRPr="00CB6C54" w:rsidRDefault="00CB6C54" w:rsidP="00CB6C54">
            <w:pPr>
              <w:ind w:left="27"/>
              <w:rPr>
                <w:rFonts w:eastAsia="Calibri"/>
                <w:sz w:val="18"/>
                <w:szCs w:val="18"/>
              </w:rPr>
            </w:pPr>
            <w:r w:rsidRPr="00CB6C54">
              <w:rPr>
                <w:rFonts w:eastAsia="Calibri"/>
                <w:sz w:val="18"/>
                <w:szCs w:val="18"/>
              </w:rPr>
              <w:t>Long-Term Unsecured Senior Debt</w:t>
            </w:r>
          </w:p>
        </w:tc>
        <w:tc>
          <w:tcPr>
            <w:tcW w:w="2520" w:type="dxa"/>
            <w:tcBorders>
              <w:top w:val="single" w:sz="8" w:space="0" w:color="auto"/>
            </w:tcBorders>
            <w:shd w:val="clear" w:color="auto" w:fill="auto"/>
            <w:vAlign w:val="center"/>
          </w:tcPr>
          <w:p w14:paraId="7684F980"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66648E45" w14:textId="77777777" w:rsidR="00CB6C54" w:rsidRPr="00CB6C54" w:rsidRDefault="00CB6C54" w:rsidP="00CB6C54">
            <w:pPr>
              <w:ind w:left="27"/>
              <w:rPr>
                <w:rFonts w:eastAsia="Calibri"/>
                <w:sz w:val="18"/>
                <w:szCs w:val="18"/>
              </w:rPr>
            </w:pPr>
          </w:p>
        </w:tc>
      </w:tr>
    </w:tbl>
    <w:p w14:paraId="7C598C57" w14:textId="77777777" w:rsidR="00CB6C54" w:rsidRPr="007D26B1" w:rsidRDefault="00CB6C54" w:rsidP="00CB6C54">
      <w:pPr>
        <w:pStyle w:val="ListParagraph"/>
        <w:rPr>
          <w:color w:val="000000"/>
          <w:szCs w:val="22"/>
        </w:rPr>
      </w:pPr>
    </w:p>
    <w:p w14:paraId="1269DE05" w14:textId="77777777" w:rsidR="00CB6C54" w:rsidRPr="00C179C2" w:rsidRDefault="00CB6C54" w:rsidP="004231A5">
      <w:pPr>
        <w:pStyle w:val="ListParagraph"/>
        <w:numPr>
          <w:ilvl w:val="0"/>
          <w:numId w:val="13"/>
        </w:numPr>
        <w:rPr>
          <w:sz w:val="20"/>
          <w:szCs w:val="20"/>
        </w:rPr>
      </w:pPr>
      <w:r w:rsidRPr="00C179C2">
        <w:rPr>
          <w:color w:val="000000"/>
          <w:sz w:val="20"/>
          <w:szCs w:val="20"/>
          <w:u w:val="single"/>
        </w:rPr>
        <w:t>Coverage Ratio</w:t>
      </w:r>
      <w:r w:rsidRPr="00C179C2">
        <w:rPr>
          <w:color w:val="000000"/>
          <w:sz w:val="20"/>
          <w:szCs w:val="20"/>
        </w:rPr>
        <w:t xml:space="preserve">. Discuss the </w:t>
      </w:r>
      <w:r w:rsidR="0018673B">
        <w:rPr>
          <w:color w:val="000000"/>
          <w:sz w:val="20"/>
          <w:szCs w:val="20"/>
        </w:rPr>
        <w:t>Firm</w:t>
      </w:r>
      <w:r w:rsidRPr="00C179C2">
        <w:rPr>
          <w:color w:val="000000"/>
          <w:sz w:val="20"/>
          <w:szCs w:val="20"/>
        </w:rPr>
        <w:t>’s current capital structure, adequacy and coverage. Provide the following statistics for the last reporting period.</w:t>
      </w:r>
    </w:p>
    <w:p w14:paraId="02771566" w14:textId="77777777" w:rsidR="00646F33" w:rsidRPr="00C179C2" w:rsidRDefault="00646F33" w:rsidP="00646F33">
      <w:pPr>
        <w:pStyle w:val="ListParagraph"/>
        <w:ind w:left="1440"/>
        <w:rPr>
          <w:sz w:val="20"/>
          <w:szCs w:val="20"/>
        </w:rPr>
      </w:pPr>
    </w:p>
    <w:p w14:paraId="2D7CAAA5" w14:textId="77777777" w:rsidR="00CB6C54" w:rsidRPr="00C179C2" w:rsidRDefault="00CB6C54" w:rsidP="004231A5">
      <w:pPr>
        <w:pStyle w:val="ListParagraph"/>
        <w:numPr>
          <w:ilvl w:val="1"/>
          <w:numId w:val="13"/>
        </w:numPr>
        <w:spacing w:after="160" w:line="259" w:lineRule="auto"/>
        <w:rPr>
          <w:sz w:val="20"/>
          <w:szCs w:val="20"/>
        </w:rPr>
      </w:pPr>
      <w:r w:rsidRPr="00C179C2">
        <w:rPr>
          <w:sz w:val="20"/>
          <w:szCs w:val="20"/>
        </w:rPr>
        <w:t>Total Risk Based Capital Ratio:_____</w:t>
      </w:r>
    </w:p>
    <w:p w14:paraId="22AB4573" w14:textId="77777777" w:rsidR="00CB6C54" w:rsidRPr="00C179C2" w:rsidRDefault="00CB6C54" w:rsidP="004231A5">
      <w:pPr>
        <w:pStyle w:val="ListParagraph"/>
        <w:numPr>
          <w:ilvl w:val="1"/>
          <w:numId w:val="13"/>
        </w:numPr>
        <w:spacing w:after="160" w:line="259" w:lineRule="auto"/>
        <w:rPr>
          <w:sz w:val="20"/>
          <w:szCs w:val="20"/>
        </w:rPr>
      </w:pPr>
      <w:r w:rsidRPr="00C179C2">
        <w:rPr>
          <w:sz w:val="20"/>
          <w:szCs w:val="20"/>
        </w:rPr>
        <w:t>Tier 1 Risk Based Capital Ratio</w:t>
      </w:r>
      <w:r w:rsidR="00646F33" w:rsidRPr="00C179C2">
        <w:rPr>
          <w:sz w:val="20"/>
          <w:szCs w:val="20"/>
        </w:rPr>
        <w:t>:_____</w:t>
      </w:r>
    </w:p>
    <w:p w14:paraId="1F941E87"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Tier 1 Leverage Capital Ratio:_____</w:t>
      </w:r>
    </w:p>
    <w:p w14:paraId="1063DB0A" w14:textId="77777777" w:rsidR="00CB6C54" w:rsidRPr="00C179C2" w:rsidRDefault="00CB6C54" w:rsidP="00CB6C54">
      <w:pPr>
        <w:widowControl w:val="0"/>
        <w:autoSpaceDE w:val="0"/>
        <w:autoSpaceDN w:val="0"/>
        <w:adjustRightInd w:val="0"/>
        <w:rPr>
          <w:sz w:val="20"/>
          <w:szCs w:val="20"/>
        </w:rPr>
      </w:pPr>
    </w:p>
    <w:p w14:paraId="61D6D8BC" w14:textId="77777777" w:rsidR="00646F33" w:rsidRPr="00C179C2" w:rsidRDefault="00646F33" w:rsidP="004231A5">
      <w:pPr>
        <w:pStyle w:val="ListParagraph"/>
        <w:numPr>
          <w:ilvl w:val="0"/>
          <w:numId w:val="13"/>
        </w:numPr>
        <w:rPr>
          <w:color w:val="000000"/>
          <w:sz w:val="20"/>
          <w:szCs w:val="20"/>
        </w:rPr>
      </w:pPr>
      <w:r w:rsidRPr="00C179C2">
        <w:rPr>
          <w:color w:val="000000"/>
          <w:sz w:val="20"/>
          <w:szCs w:val="20"/>
          <w:u w:val="single"/>
        </w:rPr>
        <w:t>FDIC Call Report</w:t>
      </w:r>
      <w:r w:rsidRPr="00C179C2">
        <w:rPr>
          <w:color w:val="000000"/>
          <w:sz w:val="20"/>
          <w:szCs w:val="20"/>
        </w:rPr>
        <w:t xml:space="preserve">. Include an </w:t>
      </w:r>
      <w:r w:rsidRPr="00C179C2">
        <w:rPr>
          <w:b/>
          <w:i/>
          <w:color w:val="000000"/>
          <w:sz w:val="20"/>
          <w:szCs w:val="20"/>
        </w:rPr>
        <w:t>electronic copy</w:t>
      </w:r>
      <w:r w:rsidRPr="00C179C2">
        <w:rPr>
          <w:color w:val="000000"/>
          <w:sz w:val="20"/>
          <w:szCs w:val="20"/>
        </w:rPr>
        <w:t xml:space="preserve"> of the most recent </w:t>
      </w:r>
      <w:r w:rsidR="00EE5FD0">
        <w:rPr>
          <w:color w:val="000000"/>
          <w:sz w:val="20"/>
          <w:szCs w:val="20"/>
        </w:rPr>
        <w:t>Federal Deposit Insurance Corporation (“</w:t>
      </w:r>
      <w:r w:rsidRPr="00C179C2">
        <w:rPr>
          <w:color w:val="000000"/>
          <w:sz w:val="20"/>
          <w:szCs w:val="20"/>
        </w:rPr>
        <w:t>FDIC</w:t>
      </w:r>
      <w:r w:rsidR="00EE5FD0">
        <w:rPr>
          <w:color w:val="000000"/>
          <w:sz w:val="20"/>
          <w:szCs w:val="20"/>
        </w:rPr>
        <w:t>”)</w:t>
      </w:r>
      <w:r w:rsidRPr="00C179C2">
        <w:rPr>
          <w:color w:val="000000"/>
          <w:sz w:val="20"/>
          <w:szCs w:val="20"/>
        </w:rPr>
        <w:t xml:space="preserve"> call report.</w:t>
      </w:r>
    </w:p>
    <w:p w14:paraId="0A4596CA" w14:textId="77777777" w:rsidR="00646F33" w:rsidRPr="00C179C2" w:rsidRDefault="00646F33" w:rsidP="00646F33">
      <w:pPr>
        <w:pStyle w:val="ListParagraph"/>
        <w:rPr>
          <w:color w:val="000000"/>
          <w:sz w:val="20"/>
          <w:szCs w:val="20"/>
        </w:rPr>
      </w:pPr>
    </w:p>
    <w:p w14:paraId="2AB68BD7" w14:textId="77777777" w:rsidR="00646F33" w:rsidRPr="00C179C2" w:rsidRDefault="00646F33" w:rsidP="004231A5">
      <w:pPr>
        <w:pStyle w:val="ListParagraph"/>
        <w:numPr>
          <w:ilvl w:val="0"/>
          <w:numId w:val="13"/>
        </w:numPr>
        <w:rPr>
          <w:color w:val="000000"/>
          <w:sz w:val="20"/>
          <w:szCs w:val="20"/>
        </w:rPr>
      </w:pPr>
      <w:r w:rsidRPr="00C179C2">
        <w:rPr>
          <w:color w:val="000000"/>
          <w:sz w:val="20"/>
          <w:szCs w:val="20"/>
          <w:u w:val="single"/>
        </w:rPr>
        <w:t>Community Reinvestment Act</w:t>
      </w:r>
      <w:r w:rsidRPr="00C179C2">
        <w:rPr>
          <w:color w:val="000000"/>
          <w:sz w:val="20"/>
          <w:szCs w:val="20"/>
        </w:rPr>
        <w:t>. Describe your</w:t>
      </w:r>
      <w:r w:rsidR="00652C0B">
        <w:rPr>
          <w:color w:val="000000"/>
          <w:sz w:val="20"/>
          <w:szCs w:val="20"/>
        </w:rPr>
        <w:t xml:space="preserve"> Firm’s</w:t>
      </w:r>
      <w:r w:rsidRPr="00C179C2">
        <w:rPr>
          <w:color w:val="000000"/>
          <w:sz w:val="20"/>
          <w:szCs w:val="20"/>
        </w:rPr>
        <w:t xml:space="preserve"> participation in the community reinvestment program, including your current national and state Community Reinvestment Act (</w:t>
      </w:r>
      <w:r w:rsidR="00EE5FD0">
        <w:rPr>
          <w:color w:val="000000"/>
          <w:sz w:val="20"/>
          <w:szCs w:val="20"/>
        </w:rPr>
        <w:t>“</w:t>
      </w:r>
      <w:r w:rsidRPr="00C179C2">
        <w:rPr>
          <w:color w:val="000000"/>
          <w:sz w:val="20"/>
          <w:szCs w:val="20"/>
        </w:rPr>
        <w:t>CRA</w:t>
      </w:r>
      <w:r w:rsidR="00EE5FD0">
        <w:rPr>
          <w:color w:val="000000"/>
          <w:sz w:val="20"/>
          <w:szCs w:val="20"/>
        </w:rPr>
        <w:t xml:space="preserve">”) </w:t>
      </w:r>
      <w:r w:rsidRPr="00C179C2">
        <w:rPr>
          <w:color w:val="000000"/>
          <w:sz w:val="20"/>
          <w:szCs w:val="20"/>
        </w:rPr>
        <w:t>rating.</w:t>
      </w:r>
    </w:p>
    <w:p w14:paraId="381F8362" w14:textId="77777777" w:rsidR="00646F33" w:rsidRPr="00C179C2" w:rsidRDefault="00646F33" w:rsidP="00646F33">
      <w:pPr>
        <w:rPr>
          <w:sz w:val="20"/>
          <w:szCs w:val="20"/>
        </w:rPr>
      </w:pPr>
    </w:p>
    <w:p w14:paraId="2C001CFF" w14:textId="77777777" w:rsidR="00646F33" w:rsidRPr="00C179C2" w:rsidRDefault="00646F33" w:rsidP="004231A5">
      <w:pPr>
        <w:pStyle w:val="ListParagraph"/>
        <w:numPr>
          <w:ilvl w:val="0"/>
          <w:numId w:val="13"/>
        </w:numPr>
        <w:tabs>
          <w:tab w:val="left" w:pos="1080"/>
        </w:tabs>
        <w:spacing w:after="160" w:line="259" w:lineRule="auto"/>
        <w:rPr>
          <w:sz w:val="20"/>
          <w:szCs w:val="20"/>
        </w:rPr>
      </w:pPr>
      <w:r w:rsidRPr="00C179C2">
        <w:rPr>
          <w:sz w:val="20"/>
          <w:szCs w:val="20"/>
          <w:u w:val="single"/>
        </w:rPr>
        <w:t>Community Based Initiatives</w:t>
      </w:r>
      <w:r w:rsidRPr="00C179C2">
        <w:rPr>
          <w:sz w:val="20"/>
          <w:szCs w:val="20"/>
        </w:rPr>
        <w:t xml:space="preserve">. Discuss the </w:t>
      </w:r>
      <w:r w:rsidR="0018673B">
        <w:rPr>
          <w:sz w:val="20"/>
          <w:szCs w:val="20"/>
        </w:rPr>
        <w:t>Firm</w:t>
      </w:r>
      <w:r w:rsidRPr="00C179C2">
        <w:rPr>
          <w:sz w:val="20"/>
          <w:szCs w:val="20"/>
        </w:rPr>
        <w:t xml:space="preserve">’s existing community oriented activities, specifically:  </w:t>
      </w:r>
    </w:p>
    <w:p w14:paraId="1B6526AD" w14:textId="77777777" w:rsidR="00646F33" w:rsidRPr="00C179C2" w:rsidRDefault="00311356" w:rsidP="004231A5">
      <w:pPr>
        <w:pStyle w:val="ListParagraph"/>
        <w:numPr>
          <w:ilvl w:val="1"/>
          <w:numId w:val="13"/>
        </w:numPr>
        <w:spacing w:after="160" w:line="259" w:lineRule="auto"/>
        <w:rPr>
          <w:sz w:val="20"/>
          <w:szCs w:val="20"/>
        </w:rPr>
      </w:pPr>
      <w:r>
        <w:rPr>
          <w:sz w:val="20"/>
          <w:szCs w:val="20"/>
        </w:rPr>
        <w:t>Number of individuals the Firm</w:t>
      </w:r>
      <w:r w:rsidR="00646F33" w:rsidRPr="00C179C2">
        <w:rPr>
          <w:sz w:val="20"/>
          <w:szCs w:val="20"/>
        </w:rPr>
        <w:t xml:space="preserve"> employ</w:t>
      </w:r>
      <w:r>
        <w:rPr>
          <w:sz w:val="20"/>
          <w:szCs w:val="20"/>
        </w:rPr>
        <w:t>s</w:t>
      </w:r>
      <w:r w:rsidR="00646F33" w:rsidRPr="00C179C2">
        <w:rPr>
          <w:sz w:val="20"/>
          <w:szCs w:val="20"/>
        </w:rPr>
        <w:t xml:space="preserve"> in the State.</w:t>
      </w:r>
    </w:p>
    <w:p w14:paraId="12896BA1"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The investment the </w:t>
      </w:r>
      <w:r w:rsidR="0018673B">
        <w:rPr>
          <w:sz w:val="20"/>
          <w:szCs w:val="20"/>
        </w:rPr>
        <w:t>Firm</w:t>
      </w:r>
      <w:r w:rsidRPr="00C179C2">
        <w:rPr>
          <w:sz w:val="20"/>
          <w:szCs w:val="20"/>
        </w:rPr>
        <w:t xml:space="preserve"> has made in the State. </w:t>
      </w:r>
    </w:p>
    <w:p w14:paraId="3CF2BC7B"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Community outreach program(s) for hiring and/or contracting.</w:t>
      </w:r>
    </w:p>
    <w:p w14:paraId="47358EFA"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Existing plans for expanding community based banking and financial services in the State of Delaware. </w:t>
      </w:r>
    </w:p>
    <w:p w14:paraId="6CBAF3EB"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Any public outreach or financial ed</w:t>
      </w:r>
      <w:r w:rsidR="00C3779C">
        <w:rPr>
          <w:sz w:val="20"/>
          <w:szCs w:val="20"/>
        </w:rPr>
        <w:t>ucation/literacy</w:t>
      </w:r>
      <w:r w:rsidRPr="00C179C2">
        <w:rPr>
          <w:sz w:val="20"/>
          <w:szCs w:val="20"/>
        </w:rPr>
        <w:t xml:space="preserve"> programs. </w:t>
      </w:r>
    </w:p>
    <w:p w14:paraId="5B2C7C2D"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Support for State businesses, foundations, charities, and residents for the last three years with an explanation of </w:t>
      </w:r>
      <w:r w:rsidR="00236F1C">
        <w:rPr>
          <w:sz w:val="20"/>
          <w:szCs w:val="20"/>
        </w:rPr>
        <w:t>the Firm’s</w:t>
      </w:r>
      <w:r w:rsidRPr="00C179C2">
        <w:rPr>
          <w:sz w:val="20"/>
          <w:szCs w:val="20"/>
        </w:rPr>
        <w:t xml:space="preserve"> level of involvement. </w:t>
      </w:r>
    </w:p>
    <w:p w14:paraId="54A4A349" w14:textId="77777777" w:rsidR="00646F33" w:rsidRDefault="00646F33" w:rsidP="004231A5">
      <w:pPr>
        <w:pStyle w:val="ListParagraph"/>
        <w:numPr>
          <w:ilvl w:val="1"/>
          <w:numId w:val="13"/>
        </w:numPr>
        <w:spacing w:after="160" w:line="259" w:lineRule="auto"/>
        <w:rPr>
          <w:sz w:val="20"/>
          <w:szCs w:val="20"/>
        </w:rPr>
      </w:pPr>
      <w:r w:rsidRPr="00C179C2">
        <w:rPr>
          <w:sz w:val="20"/>
          <w:szCs w:val="20"/>
        </w:rPr>
        <w:t xml:space="preserve">Describe how </w:t>
      </w:r>
      <w:r w:rsidR="00C23D29">
        <w:rPr>
          <w:sz w:val="20"/>
          <w:szCs w:val="20"/>
        </w:rPr>
        <w:t>the Firm sees its</w:t>
      </w:r>
      <w:r w:rsidRPr="00C179C2">
        <w:rPr>
          <w:sz w:val="20"/>
          <w:szCs w:val="20"/>
        </w:rPr>
        <w:t xml:space="preserve"> role in economic development and explain how you can </w:t>
      </w:r>
      <w:r w:rsidR="003A7EAC" w:rsidRPr="00C179C2">
        <w:rPr>
          <w:sz w:val="20"/>
          <w:szCs w:val="20"/>
        </w:rPr>
        <w:t>collaborate</w:t>
      </w:r>
      <w:r w:rsidRPr="00C179C2">
        <w:rPr>
          <w:sz w:val="20"/>
          <w:szCs w:val="20"/>
        </w:rPr>
        <w:t xml:space="preserve"> with the OST in fulfilling its mission of fostering economic development within the State.  </w:t>
      </w:r>
    </w:p>
    <w:p w14:paraId="4B1918A9" w14:textId="77777777" w:rsidR="00DB31DF" w:rsidRPr="00C179C2" w:rsidRDefault="00DB31DF" w:rsidP="004231A5">
      <w:pPr>
        <w:pStyle w:val="ListParagraph"/>
        <w:numPr>
          <w:ilvl w:val="0"/>
          <w:numId w:val="13"/>
        </w:numPr>
        <w:spacing w:after="160" w:line="259" w:lineRule="auto"/>
        <w:rPr>
          <w:sz w:val="20"/>
          <w:szCs w:val="20"/>
        </w:rPr>
      </w:pPr>
      <w:r w:rsidRPr="00C179C2">
        <w:rPr>
          <w:sz w:val="20"/>
          <w:szCs w:val="20"/>
          <w:u w:val="single"/>
        </w:rPr>
        <w:t>Sheltered Harbor</w:t>
      </w:r>
      <w:r w:rsidRPr="00C179C2">
        <w:rPr>
          <w:sz w:val="20"/>
          <w:szCs w:val="20"/>
        </w:rPr>
        <w:t xml:space="preserve">. Is the </w:t>
      </w:r>
      <w:r w:rsidR="0018673B">
        <w:rPr>
          <w:sz w:val="20"/>
          <w:szCs w:val="20"/>
        </w:rPr>
        <w:t>Firm</w:t>
      </w:r>
      <w:r w:rsidRPr="00C179C2">
        <w:rPr>
          <w:sz w:val="20"/>
          <w:szCs w:val="20"/>
        </w:rPr>
        <w:t xml:space="preserve"> a participant in Sheltered Harbor, the new industry initiative to securely store and restore account data? </w:t>
      </w:r>
    </w:p>
    <w:p w14:paraId="1CD3EFE0" w14:textId="77777777" w:rsidR="00FA5364" w:rsidRDefault="0029443F" w:rsidP="00303F48">
      <w:pPr>
        <w:pStyle w:val="Heading5"/>
        <w:numPr>
          <w:ilvl w:val="0"/>
          <w:numId w:val="92"/>
        </w:numPr>
      </w:pPr>
      <w:r>
        <w:t xml:space="preserve">Pricing &amp; </w:t>
      </w:r>
      <w:r w:rsidR="00B7580D">
        <w:t>Incentives</w:t>
      </w:r>
    </w:p>
    <w:p w14:paraId="09A62E1C" w14:textId="77777777" w:rsidR="00B7580D" w:rsidRPr="00B7580D" w:rsidRDefault="00B7580D" w:rsidP="00B7580D"/>
    <w:p w14:paraId="47439175" w14:textId="77777777" w:rsidR="0029443F" w:rsidRDefault="0029443F" w:rsidP="00B57C4D">
      <w:pPr>
        <w:pStyle w:val="ListParagraph"/>
        <w:numPr>
          <w:ilvl w:val="0"/>
          <w:numId w:val="76"/>
        </w:numPr>
        <w:tabs>
          <w:tab w:val="left" w:pos="1080"/>
        </w:tabs>
        <w:spacing w:after="160" w:line="259" w:lineRule="auto"/>
        <w:rPr>
          <w:sz w:val="20"/>
          <w:szCs w:val="20"/>
        </w:rPr>
      </w:pPr>
      <w:r>
        <w:rPr>
          <w:sz w:val="20"/>
          <w:szCs w:val="20"/>
        </w:rPr>
        <w:t xml:space="preserve">For how long will the </w:t>
      </w:r>
      <w:r w:rsidR="0018673B">
        <w:rPr>
          <w:sz w:val="20"/>
          <w:szCs w:val="20"/>
        </w:rPr>
        <w:t>Firm</w:t>
      </w:r>
      <w:r>
        <w:rPr>
          <w:sz w:val="20"/>
          <w:szCs w:val="20"/>
        </w:rPr>
        <w:t xml:space="preserve"> guaran</w:t>
      </w:r>
      <w:r w:rsidR="00CE01E2">
        <w:rPr>
          <w:sz w:val="20"/>
          <w:szCs w:val="20"/>
        </w:rPr>
        <w:t>tee the proposed fees</w:t>
      </w:r>
      <w:r w:rsidR="005B023F">
        <w:rPr>
          <w:sz w:val="20"/>
          <w:szCs w:val="20"/>
        </w:rPr>
        <w:t>?</w:t>
      </w:r>
    </w:p>
    <w:p w14:paraId="06301292" w14:textId="77777777" w:rsidR="00B7580D" w:rsidRDefault="00FA7827" w:rsidP="00B57C4D">
      <w:pPr>
        <w:pStyle w:val="ListParagraph"/>
        <w:numPr>
          <w:ilvl w:val="0"/>
          <w:numId w:val="76"/>
        </w:numPr>
        <w:tabs>
          <w:tab w:val="left" w:pos="1080"/>
        </w:tabs>
        <w:spacing w:after="160" w:line="259" w:lineRule="auto"/>
        <w:rPr>
          <w:sz w:val="20"/>
          <w:szCs w:val="20"/>
        </w:rPr>
      </w:pPr>
      <w:r>
        <w:rPr>
          <w:sz w:val="20"/>
          <w:szCs w:val="20"/>
        </w:rPr>
        <w:t>Is the Firm</w:t>
      </w:r>
      <w:r w:rsidR="00B7580D">
        <w:rPr>
          <w:sz w:val="20"/>
          <w:szCs w:val="20"/>
        </w:rPr>
        <w:t xml:space="preserve"> willing to offer any transition or retention incentives?</w:t>
      </w:r>
    </w:p>
    <w:p w14:paraId="7D450F13" w14:textId="77777777" w:rsidR="0045646F" w:rsidRDefault="0045646F" w:rsidP="00303F48">
      <w:pPr>
        <w:pStyle w:val="Heading5"/>
        <w:numPr>
          <w:ilvl w:val="0"/>
          <w:numId w:val="92"/>
        </w:numPr>
      </w:pPr>
      <w:r>
        <w:t>Electronic Invoicing</w:t>
      </w:r>
    </w:p>
    <w:p w14:paraId="5D605A44" w14:textId="77777777" w:rsidR="0045646F" w:rsidRDefault="0045646F" w:rsidP="0045646F">
      <w:pPr>
        <w:ind w:left="720"/>
      </w:pPr>
    </w:p>
    <w:p w14:paraId="5473C109" w14:textId="77777777" w:rsidR="001406A5" w:rsidRDefault="001406A5" w:rsidP="00B57C4D">
      <w:pPr>
        <w:pStyle w:val="ListParagraph"/>
        <w:numPr>
          <w:ilvl w:val="0"/>
          <w:numId w:val="115"/>
        </w:numPr>
        <w:tabs>
          <w:tab w:val="left" w:pos="1080"/>
        </w:tabs>
        <w:spacing w:after="160" w:line="259" w:lineRule="auto"/>
        <w:rPr>
          <w:sz w:val="20"/>
          <w:szCs w:val="20"/>
        </w:rPr>
      </w:pPr>
      <w:r>
        <w:rPr>
          <w:sz w:val="20"/>
          <w:szCs w:val="20"/>
        </w:rPr>
        <w:t xml:space="preserve">Is the </w:t>
      </w:r>
      <w:r w:rsidR="00321114">
        <w:rPr>
          <w:sz w:val="20"/>
          <w:szCs w:val="20"/>
        </w:rPr>
        <w:t>F</w:t>
      </w:r>
      <w:r>
        <w:rPr>
          <w:sz w:val="20"/>
          <w:szCs w:val="20"/>
        </w:rPr>
        <w:t>irm able to provide electronic invoicing as opposed to hard copies via mail?</w:t>
      </w:r>
    </w:p>
    <w:p w14:paraId="77C16A68" w14:textId="77777777" w:rsidR="0045646F" w:rsidRPr="0045646F" w:rsidRDefault="0045646F" w:rsidP="00B57C4D">
      <w:pPr>
        <w:pStyle w:val="ListParagraph"/>
        <w:numPr>
          <w:ilvl w:val="0"/>
          <w:numId w:val="115"/>
        </w:numPr>
        <w:tabs>
          <w:tab w:val="left" w:pos="1080"/>
        </w:tabs>
        <w:spacing w:after="160" w:line="259" w:lineRule="auto"/>
        <w:rPr>
          <w:sz w:val="20"/>
          <w:szCs w:val="20"/>
        </w:rPr>
      </w:pPr>
      <w:r>
        <w:rPr>
          <w:sz w:val="20"/>
          <w:szCs w:val="20"/>
        </w:rPr>
        <w:t>W</w:t>
      </w:r>
      <w:r w:rsidRPr="0045646F">
        <w:rPr>
          <w:sz w:val="20"/>
          <w:szCs w:val="20"/>
        </w:rPr>
        <w:t xml:space="preserve">ould it be possible to send an invoice </w:t>
      </w:r>
      <w:r w:rsidR="00321114">
        <w:rPr>
          <w:sz w:val="20"/>
          <w:szCs w:val="20"/>
        </w:rPr>
        <w:t>for</w:t>
      </w:r>
      <w:r w:rsidR="00FA7827">
        <w:rPr>
          <w:sz w:val="20"/>
          <w:szCs w:val="20"/>
        </w:rPr>
        <w:t xml:space="preserve"> the Firm’s</w:t>
      </w:r>
      <w:r w:rsidRPr="0045646F">
        <w:rPr>
          <w:sz w:val="20"/>
          <w:szCs w:val="20"/>
        </w:rPr>
        <w:t xml:space="preserve"> services to a centralized email account or upload to a State vendor portal?</w:t>
      </w:r>
    </w:p>
    <w:p w14:paraId="521C0673" w14:textId="77777777" w:rsidR="00B7580D" w:rsidRDefault="00B7580D" w:rsidP="00303F48">
      <w:pPr>
        <w:pStyle w:val="Heading5"/>
        <w:numPr>
          <w:ilvl w:val="0"/>
          <w:numId w:val="92"/>
        </w:numPr>
      </w:pPr>
      <w:r>
        <w:t>Subcontractors</w:t>
      </w:r>
    </w:p>
    <w:p w14:paraId="18304E8F" w14:textId="77777777" w:rsidR="00321114" w:rsidRDefault="00321114" w:rsidP="00321114"/>
    <w:p w14:paraId="10428331" w14:textId="77777777" w:rsidR="00B7580D" w:rsidRPr="00B7580D" w:rsidRDefault="00B7580D" w:rsidP="00E374AA">
      <w:pPr>
        <w:pStyle w:val="ListParagraph"/>
        <w:numPr>
          <w:ilvl w:val="0"/>
          <w:numId w:val="75"/>
        </w:numPr>
        <w:tabs>
          <w:tab w:val="left" w:pos="1080"/>
        </w:tabs>
        <w:spacing w:after="160" w:line="259" w:lineRule="auto"/>
        <w:jc w:val="both"/>
        <w:rPr>
          <w:sz w:val="20"/>
          <w:szCs w:val="20"/>
        </w:rPr>
      </w:pPr>
      <w:r w:rsidRPr="00B7580D">
        <w:rPr>
          <w:sz w:val="20"/>
          <w:szCs w:val="20"/>
        </w:rPr>
        <w:t xml:space="preserve">The </w:t>
      </w:r>
      <w:r>
        <w:rPr>
          <w:sz w:val="20"/>
          <w:szCs w:val="20"/>
        </w:rPr>
        <w:t>State</w:t>
      </w:r>
      <w:r w:rsidRPr="00B7580D">
        <w:rPr>
          <w:sz w:val="20"/>
          <w:szCs w:val="20"/>
        </w:rPr>
        <w:t xml:space="preserve"> reserves the right to approve </w:t>
      </w:r>
      <w:proofErr w:type="gramStart"/>
      <w:r w:rsidRPr="00B7580D">
        <w:rPr>
          <w:sz w:val="20"/>
          <w:szCs w:val="20"/>
        </w:rPr>
        <w:t>any and all</w:t>
      </w:r>
      <w:proofErr w:type="gramEnd"/>
      <w:r w:rsidRPr="00B7580D">
        <w:rPr>
          <w:sz w:val="20"/>
          <w:szCs w:val="20"/>
        </w:rPr>
        <w:t xml:space="preserve"> subcontractors utilized in the execution of this event. Please identify all subcontractors for this event, detailing how they </w:t>
      </w:r>
      <w:proofErr w:type="gramStart"/>
      <w:r w:rsidRPr="00B7580D">
        <w:rPr>
          <w:sz w:val="20"/>
          <w:szCs w:val="20"/>
        </w:rPr>
        <w:t>will be utilized</w:t>
      </w:r>
      <w:proofErr w:type="gramEnd"/>
      <w:r w:rsidRPr="00B7580D">
        <w:rPr>
          <w:sz w:val="20"/>
          <w:szCs w:val="20"/>
        </w:rPr>
        <w:t>, your</w:t>
      </w:r>
      <w:r w:rsidR="00096864">
        <w:rPr>
          <w:sz w:val="20"/>
          <w:szCs w:val="20"/>
        </w:rPr>
        <w:t xml:space="preserve"> Firm’s</w:t>
      </w:r>
      <w:r w:rsidRPr="00B7580D">
        <w:rPr>
          <w:sz w:val="20"/>
          <w:szCs w:val="20"/>
        </w:rPr>
        <w:t xml:space="preserve"> relationship with the subcontractor, and a description </w:t>
      </w:r>
      <w:r w:rsidR="00096864">
        <w:rPr>
          <w:sz w:val="20"/>
          <w:szCs w:val="20"/>
        </w:rPr>
        <w:t>of joint work the Firm has</w:t>
      </w:r>
      <w:r w:rsidRPr="00B7580D">
        <w:rPr>
          <w:sz w:val="20"/>
          <w:szCs w:val="20"/>
        </w:rPr>
        <w:t xml:space="preserve"> undertaken with this subcontractor.</w:t>
      </w:r>
    </w:p>
    <w:p w14:paraId="62AFADF7" w14:textId="77777777" w:rsidR="00646F33" w:rsidRPr="00FA5364" w:rsidRDefault="00FA5364" w:rsidP="00303F48">
      <w:pPr>
        <w:pStyle w:val="Heading5"/>
        <w:numPr>
          <w:ilvl w:val="0"/>
          <w:numId w:val="92"/>
        </w:numPr>
      </w:pPr>
      <w:r>
        <w:t>Control</w:t>
      </w:r>
    </w:p>
    <w:p w14:paraId="08B1BB4B" w14:textId="77777777" w:rsidR="00FA5364" w:rsidRPr="00FA5364" w:rsidRDefault="00FA5364" w:rsidP="00FA5364">
      <w:pPr>
        <w:autoSpaceDE w:val="0"/>
        <w:autoSpaceDN w:val="0"/>
        <w:adjustRightInd w:val="0"/>
        <w:rPr>
          <w:color w:val="000000"/>
        </w:rPr>
      </w:pPr>
    </w:p>
    <w:p w14:paraId="256AE891" w14:textId="77777777"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w:t>
      </w:r>
      <w:r w:rsidR="0018673B">
        <w:rPr>
          <w:sz w:val="20"/>
          <w:szCs w:val="20"/>
        </w:rPr>
        <w:t>Firm</w:t>
      </w:r>
      <w:r w:rsidRPr="00FA5364">
        <w:rPr>
          <w:sz w:val="20"/>
          <w:szCs w:val="20"/>
        </w:rPr>
        <w:t xml:space="preserve">’s security environment. Specifically cover the physical and digital security </w:t>
      </w:r>
      <w:r w:rsidR="00676825">
        <w:rPr>
          <w:sz w:val="20"/>
          <w:szCs w:val="20"/>
        </w:rPr>
        <w:t>and software safeguards that the Firm has</w:t>
      </w:r>
      <w:r w:rsidRPr="00FA5364">
        <w:rPr>
          <w:sz w:val="20"/>
          <w:szCs w:val="20"/>
        </w:rPr>
        <w:t xml:space="preserve"> put in place to control access to funds transfer systems and client account information. </w:t>
      </w:r>
    </w:p>
    <w:p w14:paraId="1168BE9F" w14:textId="77777777"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w:t>
      </w:r>
      <w:r w:rsidR="0018673B">
        <w:rPr>
          <w:sz w:val="20"/>
          <w:szCs w:val="20"/>
        </w:rPr>
        <w:t>Firm</w:t>
      </w:r>
      <w:r w:rsidRPr="00FA5364">
        <w:rPr>
          <w:sz w:val="20"/>
          <w:szCs w:val="20"/>
        </w:rPr>
        <w:t>’s security procedures for its information reporting system, both for access and information protection (e.g. RSA tokens, secure certification, etc</w:t>
      </w:r>
      <w:r w:rsidR="008F1342" w:rsidRPr="00FA5364">
        <w:rPr>
          <w:sz w:val="20"/>
          <w:szCs w:val="20"/>
        </w:rPr>
        <w:t>.)</w:t>
      </w:r>
      <w:r w:rsidR="008F1342">
        <w:rPr>
          <w:sz w:val="20"/>
          <w:szCs w:val="20"/>
        </w:rPr>
        <w:t>.</w:t>
      </w:r>
      <w:r w:rsidR="008F1342" w:rsidRPr="00FA5364">
        <w:rPr>
          <w:sz w:val="20"/>
          <w:szCs w:val="20"/>
        </w:rPr>
        <w:t xml:space="preserve"> </w:t>
      </w:r>
    </w:p>
    <w:p w14:paraId="7A659939" w14:textId="77777777"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backup and recovery capabilities in the event the proposed systems are unavailable. Who would </w:t>
      </w:r>
      <w:r>
        <w:rPr>
          <w:sz w:val="20"/>
          <w:szCs w:val="20"/>
        </w:rPr>
        <w:t>the State</w:t>
      </w:r>
      <w:r w:rsidRPr="00FA5364">
        <w:rPr>
          <w:sz w:val="20"/>
          <w:szCs w:val="20"/>
        </w:rPr>
        <w:t xml:space="preserve"> contact to initiate day-to day transactions if online capabilities and functionality are temporarily unavailable? </w:t>
      </w:r>
    </w:p>
    <w:p w14:paraId="26B41A24" w14:textId="77777777" w:rsid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Discuss the bank’s security environment related to cybersecurity. Specifically describe the cyber risks to which the proposed services</w:t>
      </w:r>
      <w:r w:rsidR="00B60595">
        <w:rPr>
          <w:sz w:val="20"/>
          <w:szCs w:val="20"/>
        </w:rPr>
        <w:t xml:space="preserve"> may be exposed and explain the Firm’s</w:t>
      </w:r>
      <w:r w:rsidRPr="00FA5364">
        <w:rPr>
          <w:sz w:val="20"/>
          <w:szCs w:val="20"/>
        </w:rPr>
        <w:t xml:space="preserve"> approach and response to protection against these risks. What are the </w:t>
      </w:r>
      <w:r w:rsidR="0018673B">
        <w:rPr>
          <w:sz w:val="20"/>
          <w:szCs w:val="20"/>
        </w:rPr>
        <w:t>Firm</w:t>
      </w:r>
      <w:r w:rsidRPr="00FA5364">
        <w:rPr>
          <w:sz w:val="20"/>
          <w:szCs w:val="20"/>
        </w:rPr>
        <w:t xml:space="preserve">’s crisis communications plans in the event of a cyber-attack? </w:t>
      </w:r>
    </w:p>
    <w:p w14:paraId="665BA96C" w14:textId="77777777" w:rsidR="00E031E3" w:rsidRPr="00582373" w:rsidRDefault="00582373" w:rsidP="00E374AA">
      <w:pPr>
        <w:pStyle w:val="ListParagraph"/>
        <w:numPr>
          <w:ilvl w:val="0"/>
          <w:numId w:val="77"/>
        </w:numPr>
        <w:tabs>
          <w:tab w:val="left" w:pos="1080"/>
        </w:tabs>
        <w:spacing w:after="160" w:line="259" w:lineRule="auto"/>
        <w:jc w:val="both"/>
        <w:rPr>
          <w:sz w:val="20"/>
          <w:szCs w:val="20"/>
        </w:rPr>
      </w:pPr>
      <w:r w:rsidRPr="00582373">
        <w:rPr>
          <w:sz w:val="20"/>
          <w:szCs w:val="20"/>
        </w:rPr>
        <w:t xml:space="preserve">Has the Firm ever had to respond to a data breach? If so, please describe </w:t>
      </w:r>
      <w:proofErr w:type="gramStart"/>
      <w:r w:rsidRPr="00582373">
        <w:rPr>
          <w:sz w:val="20"/>
          <w:szCs w:val="20"/>
        </w:rPr>
        <w:t>the breach and what the Firm’s response was</w:t>
      </w:r>
      <w:proofErr w:type="gramEnd"/>
      <w:r w:rsidRPr="00582373">
        <w:rPr>
          <w:sz w:val="20"/>
          <w:szCs w:val="20"/>
        </w:rPr>
        <w:t>.</w:t>
      </w:r>
    </w:p>
    <w:p w14:paraId="657F85F9" w14:textId="77777777"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encryption capabilities that </w:t>
      </w:r>
      <w:proofErr w:type="gramStart"/>
      <w:r w:rsidRPr="00FA5364">
        <w:rPr>
          <w:sz w:val="20"/>
          <w:szCs w:val="20"/>
        </w:rPr>
        <w:t>are support</w:t>
      </w:r>
      <w:r>
        <w:rPr>
          <w:sz w:val="20"/>
          <w:szCs w:val="20"/>
        </w:rPr>
        <w:t>ed</w:t>
      </w:r>
      <w:proofErr w:type="gramEnd"/>
      <w:r w:rsidRPr="00FA5364">
        <w:rPr>
          <w:sz w:val="20"/>
          <w:szCs w:val="20"/>
        </w:rPr>
        <w:t xml:space="preserve"> by the </w:t>
      </w:r>
      <w:r w:rsidR="0018673B">
        <w:rPr>
          <w:sz w:val="20"/>
          <w:szCs w:val="20"/>
        </w:rPr>
        <w:t>Firm</w:t>
      </w:r>
      <w:r w:rsidRPr="00FA5364">
        <w:rPr>
          <w:sz w:val="20"/>
          <w:szCs w:val="20"/>
        </w:rPr>
        <w:t xml:space="preserve"> for the transmission of data between the </w:t>
      </w:r>
      <w:r w:rsidR="00582373">
        <w:rPr>
          <w:sz w:val="20"/>
          <w:szCs w:val="20"/>
        </w:rPr>
        <w:t>F</w:t>
      </w:r>
      <w:r w:rsidRPr="00FA5364">
        <w:rPr>
          <w:sz w:val="20"/>
          <w:szCs w:val="20"/>
        </w:rPr>
        <w:t xml:space="preserve">irm and </w:t>
      </w:r>
      <w:r>
        <w:rPr>
          <w:sz w:val="20"/>
          <w:szCs w:val="20"/>
        </w:rPr>
        <w:t>the State</w:t>
      </w:r>
      <w:r w:rsidRPr="00FA5364">
        <w:rPr>
          <w:sz w:val="20"/>
          <w:szCs w:val="20"/>
        </w:rPr>
        <w:t xml:space="preserve">. Describe the file verification capabilities that </w:t>
      </w:r>
      <w:proofErr w:type="gramStart"/>
      <w:r w:rsidRPr="00FA5364">
        <w:rPr>
          <w:sz w:val="20"/>
          <w:szCs w:val="20"/>
        </w:rPr>
        <w:t>are supported</w:t>
      </w:r>
      <w:proofErr w:type="gramEnd"/>
      <w:r w:rsidRPr="00FA5364">
        <w:rPr>
          <w:sz w:val="20"/>
          <w:szCs w:val="20"/>
        </w:rPr>
        <w:t xml:space="preserve"> by the </w:t>
      </w:r>
      <w:r w:rsidR="00582373">
        <w:rPr>
          <w:sz w:val="20"/>
          <w:szCs w:val="20"/>
        </w:rPr>
        <w:t>F</w:t>
      </w:r>
      <w:r w:rsidRPr="00FA5364">
        <w:rPr>
          <w:sz w:val="20"/>
          <w:szCs w:val="20"/>
        </w:rPr>
        <w:t xml:space="preserve">irm, such as checksum or hash totals to ensure that no data is misfield or substituted. </w:t>
      </w:r>
    </w:p>
    <w:p w14:paraId="68439751" w14:textId="77777777"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process and procedures for providing notification of technology changes, such as file content / structure, and new / modified data availability reporting changes to </w:t>
      </w:r>
      <w:r>
        <w:rPr>
          <w:sz w:val="20"/>
          <w:szCs w:val="20"/>
        </w:rPr>
        <w:t>the State</w:t>
      </w:r>
      <w:r w:rsidRPr="00FA5364">
        <w:rPr>
          <w:sz w:val="20"/>
          <w:szCs w:val="20"/>
        </w:rPr>
        <w:t xml:space="preserve">. </w:t>
      </w:r>
    </w:p>
    <w:p w14:paraId="0410F3EB" w14:textId="77777777" w:rsidR="00FA5364" w:rsidRPr="00EB698D" w:rsidRDefault="00FA5364" w:rsidP="00E374AA">
      <w:pPr>
        <w:pStyle w:val="ListParagraph"/>
        <w:numPr>
          <w:ilvl w:val="0"/>
          <w:numId w:val="77"/>
        </w:numPr>
        <w:tabs>
          <w:tab w:val="left" w:pos="1080"/>
        </w:tabs>
        <w:spacing w:after="160" w:line="259" w:lineRule="auto"/>
        <w:jc w:val="both"/>
        <w:rPr>
          <w:sz w:val="20"/>
          <w:szCs w:val="20"/>
        </w:rPr>
      </w:pPr>
      <w:r w:rsidRPr="00EB698D">
        <w:rPr>
          <w:sz w:val="20"/>
          <w:szCs w:val="20"/>
        </w:rPr>
        <w:t xml:space="preserve">List the types and amounts of insurance and bonding carried. Provide copies of the insurance certificates. </w:t>
      </w:r>
      <w:r w:rsidR="00355BA8" w:rsidRPr="00EB698D">
        <w:rPr>
          <w:sz w:val="20"/>
          <w:szCs w:val="20"/>
        </w:rPr>
        <w:t xml:space="preserve">Insurance requirements </w:t>
      </w:r>
      <w:proofErr w:type="gramStart"/>
      <w:r w:rsidR="00355BA8" w:rsidRPr="00EB698D">
        <w:rPr>
          <w:sz w:val="20"/>
          <w:szCs w:val="20"/>
        </w:rPr>
        <w:t>can be found</w:t>
      </w:r>
      <w:proofErr w:type="gramEnd"/>
      <w:r w:rsidR="00355BA8" w:rsidRPr="00EB698D">
        <w:rPr>
          <w:sz w:val="20"/>
          <w:szCs w:val="20"/>
        </w:rPr>
        <w:t xml:space="preserve"> in the </w:t>
      </w:r>
      <w:r w:rsidR="00E374AA" w:rsidRPr="00EB698D">
        <w:rPr>
          <w:sz w:val="20"/>
          <w:szCs w:val="20"/>
        </w:rPr>
        <w:t xml:space="preserve">STCs </w:t>
      </w:r>
      <w:r w:rsidR="00321114" w:rsidRPr="00EB698D">
        <w:rPr>
          <w:b/>
          <w:sz w:val="20"/>
          <w:szCs w:val="20"/>
        </w:rPr>
        <w:t xml:space="preserve">Section </w:t>
      </w:r>
      <w:r w:rsidR="00EB698D" w:rsidRPr="00EB698D">
        <w:rPr>
          <w:b/>
          <w:sz w:val="20"/>
          <w:szCs w:val="20"/>
        </w:rPr>
        <w:t>IX</w:t>
      </w:r>
      <w:r w:rsidR="00321114" w:rsidRPr="00EB698D">
        <w:rPr>
          <w:sz w:val="20"/>
          <w:szCs w:val="20"/>
        </w:rPr>
        <w:t xml:space="preserve"> of </w:t>
      </w:r>
      <w:r w:rsidR="00355BA8" w:rsidRPr="00EB698D">
        <w:rPr>
          <w:b/>
          <w:sz w:val="20"/>
          <w:szCs w:val="20"/>
        </w:rPr>
        <w:t xml:space="preserve">Appendix </w:t>
      </w:r>
      <w:r w:rsidR="00E374AA" w:rsidRPr="00EB698D">
        <w:rPr>
          <w:b/>
          <w:sz w:val="20"/>
          <w:szCs w:val="20"/>
        </w:rPr>
        <w:t>D</w:t>
      </w:r>
      <w:r w:rsidR="00355BA8" w:rsidRPr="00EB698D">
        <w:rPr>
          <w:b/>
          <w:sz w:val="20"/>
          <w:szCs w:val="20"/>
        </w:rPr>
        <w:t>.</w:t>
      </w:r>
    </w:p>
    <w:p w14:paraId="196A2AA8" w14:textId="77777777" w:rsidR="00582373"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Does the </w:t>
      </w:r>
      <w:r w:rsidR="00582373">
        <w:rPr>
          <w:sz w:val="20"/>
          <w:szCs w:val="20"/>
        </w:rPr>
        <w:t>F</w:t>
      </w:r>
      <w:r w:rsidRPr="00FA5364">
        <w:rPr>
          <w:sz w:val="20"/>
          <w:szCs w:val="20"/>
        </w:rPr>
        <w:t>irm maintain cyber liability insurance? If so, list the t</w:t>
      </w:r>
      <w:r w:rsidR="00582373">
        <w:rPr>
          <w:sz w:val="20"/>
          <w:szCs w:val="20"/>
        </w:rPr>
        <w:t xml:space="preserve">ypes and amount/limits carried. </w:t>
      </w:r>
    </w:p>
    <w:p w14:paraId="18F32FEC" w14:textId="77777777" w:rsidR="00FA5364" w:rsidRPr="00E374AA" w:rsidRDefault="00FA5364" w:rsidP="00E374AA">
      <w:pPr>
        <w:pStyle w:val="ListParagraph"/>
        <w:numPr>
          <w:ilvl w:val="0"/>
          <w:numId w:val="77"/>
        </w:numPr>
        <w:tabs>
          <w:tab w:val="left" w:pos="1080"/>
        </w:tabs>
        <w:spacing w:after="160" w:line="259" w:lineRule="auto"/>
        <w:jc w:val="both"/>
        <w:rPr>
          <w:i/>
          <w:sz w:val="20"/>
          <w:szCs w:val="20"/>
        </w:rPr>
      </w:pPr>
      <w:r w:rsidRPr="00FA5364">
        <w:rPr>
          <w:sz w:val="20"/>
          <w:szCs w:val="20"/>
        </w:rPr>
        <w:t>Include a copy of the bank's most recent reports issued in accordance with the Statement on Standards for Attestation Engagements (</w:t>
      </w:r>
      <w:r w:rsidR="00246418">
        <w:rPr>
          <w:sz w:val="20"/>
          <w:szCs w:val="20"/>
        </w:rPr>
        <w:t>“</w:t>
      </w:r>
      <w:r w:rsidRPr="00FA5364">
        <w:rPr>
          <w:sz w:val="20"/>
          <w:szCs w:val="20"/>
        </w:rPr>
        <w:t>SSAE</w:t>
      </w:r>
      <w:r w:rsidR="00246418">
        <w:rPr>
          <w:sz w:val="20"/>
          <w:szCs w:val="20"/>
        </w:rPr>
        <w:t>”</w:t>
      </w:r>
      <w:r w:rsidRPr="00FA5364">
        <w:rPr>
          <w:sz w:val="20"/>
          <w:szCs w:val="20"/>
        </w:rPr>
        <w:t>) No. 1</w:t>
      </w:r>
      <w:r w:rsidR="00821998">
        <w:rPr>
          <w:sz w:val="20"/>
          <w:szCs w:val="20"/>
        </w:rPr>
        <w:t>8</w:t>
      </w:r>
      <w:r w:rsidRPr="00FA5364">
        <w:rPr>
          <w:sz w:val="20"/>
          <w:szCs w:val="20"/>
        </w:rPr>
        <w:t xml:space="preserve"> (formerly known as the Statement of Auditing Standards-70 (</w:t>
      </w:r>
      <w:r w:rsidR="00246418">
        <w:rPr>
          <w:sz w:val="20"/>
          <w:szCs w:val="20"/>
        </w:rPr>
        <w:t>“</w:t>
      </w:r>
      <w:r w:rsidRPr="00FA5364">
        <w:rPr>
          <w:sz w:val="20"/>
          <w:szCs w:val="20"/>
        </w:rPr>
        <w:t>SAS70</w:t>
      </w:r>
      <w:r w:rsidR="00246418">
        <w:rPr>
          <w:sz w:val="20"/>
          <w:szCs w:val="20"/>
        </w:rPr>
        <w:t>”</w:t>
      </w:r>
      <w:r w:rsidRPr="00FA5364">
        <w:rPr>
          <w:sz w:val="20"/>
          <w:szCs w:val="20"/>
        </w:rPr>
        <w:t xml:space="preserve">)) for any processes or systems relevant to the services proposed by the </w:t>
      </w:r>
      <w:r w:rsidR="0018673B">
        <w:rPr>
          <w:sz w:val="20"/>
          <w:szCs w:val="20"/>
        </w:rPr>
        <w:t>Firm</w:t>
      </w:r>
      <w:r w:rsidRPr="00FA5364">
        <w:rPr>
          <w:sz w:val="20"/>
          <w:szCs w:val="20"/>
        </w:rPr>
        <w:t xml:space="preserve"> under this RFP. </w:t>
      </w:r>
      <w:r w:rsidRPr="00E374AA">
        <w:rPr>
          <w:i/>
          <w:sz w:val="20"/>
          <w:szCs w:val="20"/>
        </w:rPr>
        <w:t xml:space="preserve">(Note: Failure to provide this information will significantly impair the State’s ability to assess the </w:t>
      </w:r>
      <w:r w:rsidR="003813B2">
        <w:rPr>
          <w:i/>
          <w:sz w:val="20"/>
          <w:szCs w:val="20"/>
        </w:rPr>
        <w:t>Firm’s</w:t>
      </w:r>
      <w:r w:rsidRPr="00E374AA">
        <w:rPr>
          <w:i/>
          <w:sz w:val="20"/>
          <w:szCs w:val="20"/>
        </w:rPr>
        <w:t xml:space="preserve"> controls and will negatively affect the evaluation of the proposal.) </w:t>
      </w:r>
    </w:p>
    <w:p w14:paraId="44822FC0" w14:textId="77777777" w:rsidR="00FD1C49" w:rsidRDefault="00FD1C49" w:rsidP="00303F48">
      <w:pPr>
        <w:pStyle w:val="Heading5"/>
        <w:numPr>
          <w:ilvl w:val="0"/>
          <w:numId w:val="92"/>
        </w:numPr>
      </w:pPr>
      <w:r>
        <w:t>Information Technology</w:t>
      </w:r>
    </w:p>
    <w:p w14:paraId="516EA95F" w14:textId="77777777" w:rsidR="00FD1C49" w:rsidRPr="00FD1C49" w:rsidRDefault="00FD1C49" w:rsidP="00FD1C49"/>
    <w:p w14:paraId="1D648C70" w14:textId="4A27FD37" w:rsidR="00FD1C49" w:rsidRPr="00DB31DF" w:rsidRDefault="00F54517" w:rsidP="00541A49">
      <w:pPr>
        <w:pStyle w:val="ListParagraph"/>
        <w:numPr>
          <w:ilvl w:val="0"/>
          <w:numId w:val="79"/>
        </w:numPr>
        <w:tabs>
          <w:tab w:val="left" w:pos="1080"/>
        </w:tabs>
        <w:spacing w:after="160" w:line="259" w:lineRule="auto"/>
        <w:jc w:val="both"/>
        <w:rPr>
          <w:sz w:val="20"/>
          <w:szCs w:val="20"/>
        </w:rPr>
      </w:pPr>
      <w:r>
        <w:rPr>
          <w:sz w:val="20"/>
          <w:szCs w:val="20"/>
        </w:rPr>
        <w:t>A</w:t>
      </w:r>
      <w:r w:rsidR="00FD1C49" w:rsidRPr="00DB31DF">
        <w:rPr>
          <w:sz w:val="20"/>
          <w:szCs w:val="20"/>
        </w:rPr>
        <w:t xml:space="preserve">ll services, products and deliverables provided by the Firm </w:t>
      </w:r>
      <w:r>
        <w:rPr>
          <w:sz w:val="20"/>
          <w:szCs w:val="20"/>
        </w:rPr>
        <w:t xml:space="preserve">must </w:t>
      </w:r>
      <w:r w:rsidR="00FD1C49" w:rsidRPr="00DB31DF">
        <w:rPr>
          <w:sz w:val="20"/>
          <w:szCs w:val="20"/>
        </w:rPr>
        <w:t xml:space="preserve">comply with State standards promulgated by </w:t>
      </w:r>
      <w:r w:rsidR="00C40665">
        <w:rPr>
          <w:sz w:val="20"/>
          <w:szCs w:val="20"/>
        </w:rPr>
        <w:t>DTI</w:t>
      </w:r>
      <w:r w:rsidR="00FD1C49" w:rsidRPr="00DB31DF">
        <w:rPr>
          <w:sz w:val="20"/>
          <w:szCs w:val="20"/>
        </w:rPr>
        <w:t xml:space="preserve">, published at </w:t>
      </w:r>
      <w:hyperlink r:id="rId22" w:history="1">
        <w:r w:rsidR="00541A49" w:rsidRPr="0036564A">
          <w:rPr>
            <w:rStyle w:val="Hyperlink"/>
            <w:sz w:val="20"/>
            <w:szCs w:val="20"/>
          </w:rPr>
          <w:t>https://dti.delaware.gov/information/standards-policies.shtm</w:t>
        </w:r>
      </w:hyperlink>
      <w:r w:rsidR="00541A49">
        <w:rPr>
          <w:sz w:val="20"/>
          <w:szCs w:val="20"/>
        </w:rPr>
        <w:t xml:space="preserve"> </w:t>
      </w:r>
      <w:r>
        <w:rPr>
          <w:sz w:val="20"/>
          <w:szCs w:val="20"/>
        </w:rPr>
        <w:t>.</w:t>
      </w:r>
      <w:r w:rsidR="00FD1C49" w:rsidRPr="00DB31DF">
        <w:rPr>
          <w:sz w:val="20"/>
          <w:szCs w:val="20"/>
        </w:rPr>
        <w:t xml:space="preserve"> </w:t>
      </w:r>
    </w:p>
    <w:p w14:paraId="356C5FE2" w14:textId="77777777" w:rsidR="005A4EB5" w:rsidRDefault="005A4EB5">
      <w:pPr>
        <w:rPr>
          <w:sz w:val="20"/>
          <w:szCs w:val="20"/>
        </w:rPr>
      </w:pPr>
      <w:r>
        <w:rPr>
          <w:sz w:val="20"/>
          <w:szCs w:val="20"/>
        </w:rPr>
        <w:br w:type="page"/>
      </w:r>
    </w:p>
    <w:p w14:paraId="19A7279D" w14:textId="77777777" w:rsidR="00080D31" w:rsidRPr="00303F48" w:rsidRDefault="00080D31" w:rsidP="00080D31">
      <w:pPr>
        <w:pStyle w:val="Heading4"/>
        <w:rPr>
          <w:sz w:val="24"/>
          <w:szCs w:val="24"/>
        </w:rPr>
      </w:pPr>
      <w:r w:rsidRPr="00303F48">
        <w:rPr>
          <w:szCs w:val="24"/>
        </w:rPr>
        <w:t xml:space="preserve">Attachment 1-A: </w:t>
      </w:r>
      <w:r w:rsidR="00814F99">
        <w:rPr>
          <w:szCs w:val="24"/>
        </w:rPr>
        <w:t>Local Banking</w:t>
      </w:r>
      <w:r w:rsidRPr="00303F48">
        <w:rPr>
          <w:szCs w:val="24"/>
        </w:rPr>
        <w:t xml:space="preserve"> Questionnaire</w:t>
      </w:r>
    </w:p>
    <w:p w14:paraId="3CA76297" w14:textId="77777777" w:rsidR="00080D31" w:rsidRDefault="00080D31" w:rsidP="00080D31">
      <w:pPr>
        <w:rPr>
          <w:sz w:val="20"/>
          <w:szCs w:val="20"/>
        </w:rPr>
      </w:pPr>
      <w:r w:rsidRPr="00BE7E61">
        <w:rPr>
          <w:sz w:val="20"/>
          <w:szCs w:val="20"/>
        </w:rPr>
        <w:t xml:space="preserve">CONTRACT NUMBER:  </w:t>
      </w:r>
      <w:r w:rsidR="005C7617" w:rsidRPr="00CC34E6">
        <w:rPr>
          <w:sz w:val="20"/>
          <w:szCs w:val="20"/>
        </w:rPr>
        <w:t>TRE19202-LOCALBANKS</w:t>
      </w:r>
    </w:p>
    <w:p w14:paraId="7C7E094D" w14:textId="77777777" w:rsidR="00080D31" w:rsidRPr="00080D31" w:rsidRDefault="00080D31" w:rsidP="00303F48"/>
    <w:p w14:paraId="0A37D5FF" w14:textId="77777777" w:rsidR="00EB0874" w:rsidRPr="00A51423" w:rsidRDefault="00EB0874" w:rsidP="00EB0874">
      <w:pPr>
        <w:pStyle w:val="Heading5"/>
        <w:numPr>
          <w:ilvl w:val="0"/>
          <w:numId w:val="165"/>
        </w:numPr>
      </w:pPr>
      <w:r>
        <w:t>Customer Service</w:t>
      </w:r>
    </w:p>
    <w:p w14:paraId="1B195767" w14:textId="77777777" w:rsidR="00EB0874" w:rsidRPr="00D970C3" w:rsidRDefault="00EB0874" w:rsidP="00EB0874"/>
    <w:p w14:paraId="363AD400" w14:textId="77777777" w:rsidR="00EB0874" w:rsidRDefault="00EB0874" w:rsidP="00EB0874">
      <w:pPr>
        <w:pStyle w:val="ListParagraph"/>
        <w:numPr>
          <w:ilvl w:val="0"/>
          <w:numId w:val="17"/>
        </w:numPr>
        <w:tabs>
          <w:tab w:val="left" w:pos="1080"/>
        </w:tabs>
        <w:spacing w:after="160" w:line="259" w:lineRule="auto"/>
        <w:rPr>
          <w:sz w:val="20"/>
          <w:szCs w:val="20"/>
        </w:rPr>
      </w:pPr>
      <w:r w:rsidRPr="003D6A92">
        <w:rPr>
          <w:sz w:val="20"/>
          <w:szCs w:val="20"/>
        </w:rPr>
        <w:t>Provide the name, title, address, phone number, and email address of the primary contact person(s)</w:t>
      </w:r>
      <w:r>
        <w:rPr>
          <w:sz w:val="20"/>
          <w:szCs w:val="20"/>
        </w:rPr>
        <w:t xml:space="preserve"> assigned to this account.</w:t>
      </w:r>
    </w:p>
    <w:tbl>
      <w:tblPr>
        <w:tblStyle w:val="TableGrid"/>
        <w:tblW w:w="0" w:type="auto"/>
        <w:tblInd w:w="720" w:type="dxa"/>
        <w:tblLook w:val="04A0" w:firstRow="1" w:lastRow="0" w:firstColumn="1" w:lastColumn="0" w:noHBand="0" w:noVBand="1"/>
      </w:tblPr>
      <w:tblGrid>
        <w:gridCol w:w="4194"/>
        <w:gridCol w:w="4196"/>
      </w:tblGrid>
      <w:tr w:rsidR="00EB0874" w14:paraId="565D44E3" w14:textId="77777777" w:rsidTr="00E93EA0">
        <w:trPr>
          <w:trHeight w:val="789"/>
        </w:trPr>
        <w:tc>
          <w:tcPr>
            <w:tcW w:w="4194" w:type="dxa"/>
            <w:shd w:val="clear" w:color="auto" w:fill="F2F2F2" w:themeFill="background1" w:themeFillShade="F2"/>
            <w:vAlign w:val="center"/>
          </w:tcPr>
          <w:p w14:paraId="09E3C5B7" w14:textId="77777777" w:rsidR="00EB0874" w:rsidRPr="0009539E" w:rsidRDefault="00EB0874" w:rsidP="00F377C7">
            <w:pPr>
              <w:pStyle w:val="ListParagraph"/>
              <w:tabs>
                <w:tab w:val="left" w:pos="1080"/>
              </w:tabs>
              <w:ind w:left="0"/>
              <w:jc w:val="center"/>
              <w:rPr>
                <w:b/>
                <w:sz w:val="18"/>
                <w:szCs w:val="18"/>
              </w:rPr>
            </w:pPr>
            <w:r w:rsidRPr="0009539E">
              <w:rPr>
                <w:b/>
                <w:sz w:val="18"/>
                <w:szCs w:val="18"/>
              </w:rPr>
              <w:t xml:space="preserve">Relationship Manager </w:t>
            </w:r>
          </w:p>
        </w:tc>
        <w:tc>
          <w:tcPr>
            <w:tcW w:w="4196" w:type="dxa"/>
            <w:shd w:val="clear" w:color="auto" w:fill="F2F2F2" w:themeFill="background1" w:themeFillShade="F2"/>
            <w:vAlign w:val="center"/>
          </w:tcPr>
          <w:p w14:paraId="0224BC6D" w14:textId="77777777" w:rsidR="00EB0874" w:rsidRPr="0009539E" w:rsidRDefault="00EB0874" w:rsidP="00E93EA0">
            <w:pPr>
              <w:pStyle w:val="ListParagraph"/>
              <w:tabs>
                <w:tab w:val="left" w:pos="1080"/>
              </w:tabs>
              <w:ind w:left="0"/>
              <w:jc w:val="center"/>
              <w:rPr>
                <w:b/>
                <w:sz w:val="18"/>
                <w:szCs w:val="18"/>
              </w:rPr>
            </w:pPr>
            <w:r w:rsidRPr="0009539E">
              <w:rPr>
                <w:b/>
                <w:sz w:val="18"/>
                <w:szCs w:val="18"/>
              </w:rPr>
              <w:t>Routine (Day-to-Day) Requests</w:t>
            </w:r>
          </w:p>
        </w:tc>
      </w:tr>
      <w:tr w:rsidR="00EB0874" w14:paraId="2E2E8979" w14:textId="77777777" w:rsidTr="00E93EA0">
        <w:trPr>
          <w:trHeight w:val="789"/>
        </w:trPr>
        <w:tc>
          <w:tcPr>
            <w:tcW w:w="4194" w:type="dxa"/>
          </w:tcPr>
          <w:p w14:paraId="5328A783" w14:textId="77777777" w:rsidR="00EB0874" w:rsidRPr="0009539E" w:rsidRDefault="00EB0874" w:rsidP="00E93EA0">
            <w:pPr>
              <w:pStyle w:val="ListParagraph"/>
              <w:tabs>
                <w:tab w:val="left" w:pos="1080"/>
              </w:tabs>
              <w:ind w:left="0"/>
              <w:rPr>
                <w:sz w:val="18"/>
                <w:szCs w:val="18"/>
              </w:rPr>
            </w:pPr>
          </w:p>
        </w:tc>
        <w:tc>
          <w:tcPr>
            <w:tcW w:w="4196" w:type="dxa"/>
          </w:tcPr>
          <w:p w14:paraId="59AF1E69" w14:textId="77777777" w:rsidR="00EB0874" w:rsidRPr="0009539E" w:rsidRDefault="00EB0874" w:rsidP="00E93EA0">
            <w:pPr>
              <w:pStyle w:val="ListParagraph"/>
              <w:tabs>
                <w:tab w:val="left" w:pos="1080"/>
              </w:tabs>
              <w:ind w:left="0"/>
              <w:rPr>
                <w:sz w:val="18"/>
                <w:szCs w:val="18"/>
              </w:rPr>
            </w:pPr>
          </w:p>
        </w:tc>
      </w:tr>
    </w:tbl>
    <w:p w14:paraId="4A5CACF1" w14:textId="77777777" w:rsidR="00EB0874" w:rsidRDefault="00EB0874" w:rsidP="00EB0874">
      <w:pPr>
        <w:pStyle w:val="ListParagraph"/>
        <w:tabs>
          <w:tab w:val="left" w:pos="1080"/>
        </w:tabs>
        <w:spacing w:after="160" w:line="259" w:lineRule="auto"/>
        <w:rPr>
          <w:sz w:val="20"/>
          <w:szCs w:val="20"/>
        </w:rPr>
      </w:pPr>
    </w:p>
    <w:p w14:paraId="6063660D" w14:textId="77777777" w:rsidR="00EB0874" w:rsidRPr="003D6A92" w:rsidRDefault="00EB0874" w:rsidP="00EB0874">
      <w:pPr>
        <w:pStyle w:val="ListParagraph"/>
        <w:numPr>
          <w:ilvl w:val="0"/>
          <w:numId w:val="17"/>
        </w:numPr>
        <w:tabs>
          <w:tab w:val="left" w:pos="1080"/>
        </w:tabs>
        <w:spacing w:after="160" w:line="259" w:lineRule="auto"/>
        <w:rPr>
          <w:sz w:val="20"/>
          <w:szCs w:val="20"/>
        </w:rPr>
      </w:pPr>
      <w:r w:rsidRPr="003D6A92">
        <w:rPr>
          <w:sz w:val="20"/>
          <w:szCs w:val="20"/>
        </w:rPr>
        <w:t>After the initial transition, how often will the primary relationship manager attend on-site meetings with State staff</w:t>
      </w:r>
      <w:r>
        <w:rPr>
          <w:sz w:val="20"/>
          <w:szCs w:val="20"/>
        </w:rPr>
        <w:t>?</w:t>
      </w:r>
    </w:p>
    <w:p w14:paraId="604EEC05" w14:textId="77777777" w:rsidR="000525E4" w:rsidRPr="003D6A92" w:rsidRDefault="000525E4" w:rsidP="00EB0874">
      <w:pPr>
        <w:pStyle w:val="ListParagraph"/>
        <w:numPr>
          <w:ilvl w:val="0"/>
          <w:numId w:val="17"/>
        </w:numPr>
        <w:tabs>
          <w:tab w:val="left" w:pos="1080"/>
        </w:tabs>
        <w:spacing w:after="160" w:line="259" w:lineRule="auto"/>
        <w:rPr>
          <w:sz w:val="20"/>
          <w:szCs w:val="20"/>
        </w:rPr>
      </w:pPr>
      <w:r w:rsidRPr="003D6A92">
        <w:rPr>
          <w:sz w:val="20"/>
          <w:szCs w:val="20"/>
        </w:rPr>
        <w:t>Provide biographical information on the individuals who will work with the State on a regular basis. Please include the following information</w:t>
      </w:r>
      <w:r w:rsidR="00080D31">
        <w:rPr>
          <w:sz w:val="20"/>
          <w:szCs w:val="20"/>
        </w:rPr>
        <w:t>:</w:t>
      </w:r>
      <w:r w:rsidR="00080D31" w:rsidRPr="003D6A92">
        <w:rPr>
          <w:sz w:val="20"/>
          <w:szCs w:val="20"/>
        </w:rPr>
        <w:t xml:space="preserve">  </w:t>
      </w:r>
    </w:p>
    <w:p w14:paraId="4EC159DA"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Proposed role with regard to OST’s account; </w:t>
      </w:r>
    </w:p>
    <w:p w14:paraId="6AA0D875"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Biographical information;</w:t>
      </w:r>
    </w:p>
    <w:p w14:paraId="379CFFA8"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Location;</w:t>
      </w:r>
    </w:p>
    <w:p w14:paraId="1D08B33D"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Experience working with other government entities;</w:t>
      </w:r>
    </w:p>
    <w:p w14:paraId="71D0F184"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Number of years of experience in this field; </w:t>
      </w:r>
    </w:p>
    <w:p w14:paraId="77CE444B"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Number of years with </w:t>
      </w:r>
      <w:r w:rsidR="0018673B">
        <w:rPr>
          <w:sz w:val="20"/>
          <w:szCs w:val="20"/>
        </w:rPr>
        <w:t>Firm</w:t>
      </w:r>
      <w:r w:rsidRPr="003D6A92">
        <w:rPr>
          <w:sz w:val="20"/>
          <w:szCs w:val="20"/>
        </w:rPr>
        <w:t>;</w:t>
      </w:r>
      <w:r w:rsidR="00080D31">
        <w:rPr>
          <w:sz w:val="20"/>
          <w:szCs w:val="20"/>
        </w:rPr>
        <w:t xml:space="preserve"> and,</w:t>
      </w:r>
    </w:p>
    <w:p w14:paraId="3F1EEE74"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Number of accounts the person is responsible </w:t>
      </w:r>
      <w:proofErr w:type="gramStart"/>
      <w:r w:rsidRPr="003D6A92">
        <w:rPr>
          <w:sz w:val="20"/>
          <w:szCs w:val="20"/>
        </w:rPr>
        <w:t>for</w:t>
      </w:r>
      <w:proofErr w:type="gramEnd"/>
      <w:r w:rsidR="004231A5">
        <w:rPr>
          <w:sz w:val="20"/>
          <w:szCs w:val="20"/>
        </w:rPr>
        <w:t>.</w:t>
      </w:r>
    </w:p>
    <w:p w14:paraId="20AE9FB3" w14:textId="77777777" w:rsidR="000525E4" w:rsidRPr="003D6A92" w:rsidRDefault="000525E4" w:rsidP="00EB0874">
      <w:pPr>
        <w:pStyle w:val="ListParagraph"/>
        <w:numPr>
          <w:ilvl w:val="0"/>
          <w:numId w:val="17"/>
        </w:numPr>
        <w:tabs>
          <w:tab w:val="left" w:pos="1080"/>
        </w:tabs>
        <w:spacing w:after="160" w:line="259" w:lineRule="auto"/>
        <w:rPr>
          <w:sz w:val="20"/>
          <w:szCs w:val="20"/>
        </w:rPr>
      </w:pPr>
      <w:r w:rsidRPr="003D6A92">
        <w:rPr>
          <w:sz w:val="20"/>
          <w:szCs w:val="20"/>
        </w:rPr>
        <w:t>Customer Service</w:t>
      </w:r>
    </w:p>
    <w:p w14:paraId="66315B69" w14:textId="77777777" w:rsidR="000525E4" w:rsidRPr="003D6A92" w:rsidRDefault="000525E4" w:rsidP="00EB0874">
      <w:pPr>
        <w:pStyle w:val="ListParagraph"/>
        <w:numPr>
          <w:ilvl w:val="0"/>
          <w:numId w:val="174"/>
        </w:numPr>
        <w:tabs>
          <w:tab w:val="left" w:pos="1080"/>
        </w:tabs>
        <w:spacing w:after="160" w:line="259" w:lineRule="auto"/>
        <w:rPr>
          <w:sz w:val="20"/>
          <w:szCs w:val="20"/>
        </w:rPr>
      </w:pPr>
      <w:r w:rsidRPr="003D6A92">
        <w:rPr>
          <w:sz w:val="20"/>
          <w:szCs w:val="20"/>
        </w:rPr>
        <w:t xml:space="preserve">For routine day-to-day transactions, </w:t>
      </w:r>
      <w:proofErr w:type="gramStart"/>
      <w:r w:rsidRPr="003D6A92">
        <w:rPr>
          <w:sz w:val="20"/>
          <w:szCs w:val="20"/>
        </w:rPr>
        <w:t>will a specific customer service representative or a customer service department be assigned</w:t>
      </w:r>
      <w:proofErr w:type="gramEnd"/>
      <w:r w:rsidRPr="003D6A92">
        <w:rPr>
          <w:sz w:val="20"/>
          <w:szCs w:val="20"/>
        </w:rPr>
        <w:t xml:space="preserve">? Provide biographical information for </w:t>
      </w:r>
      <w:proofErr w:type="gramStart"/>
      <w:r w:rsidRPr="003D6A92">
        <w:rPr>
          <w:sz w:val="20"/>
          <w:szCs w:val="20"/>
        </w:rPr>
        <w:t>this</w:t>
      </w:r>
      <w:proofErr w:type="gramEnd"/>
      <w:r w:rsidRPr="003D6A92">
        <w:rPr>
          <w:sz w:val="20"/>
          <w:szCs w:val="20"/>
        </w:rPr>
        <w:t xml:space="preserve"> individual(s) that will be assigned to this account.</w:t>
      </w:r>
    </w:p>
    <w:p w14:paraId="0E8CACA1" w14:textId="77777777" w:rsidR="000525E4" w:rsidRPr="003D6A92" w:rsidRDefault="000525E4" w:rsidP="00EB0874">
      <w:pPr>
        <w:pStyle w:val="ListParagraph"/>
        <w:numPr>
          <w:ilvl w:val="0"/>
          <w:numId w:val="174"/>
        </w:numPr>
        <w:tabs>
          <w:tab w:val="left" w:pos="1080"/>
        </w:tabs>
        <w:spacing w:after="160" w:line="259" w:lineRule="auto"/>
        <w:rPr>
          <w:sz w:val="20"/>
          <w:szCs w:val="20"/>
        </w:rPr>
      </w:pPr>
      <w:r w:rsidRPr="003D6A92">
        <w:rPr>
          <w:sz w:val="20"/>
          <w:szCs w:val="20"/>
        </w:rPr>
        <w:t>Describe the responsibilities of the customer service personnel, including the chain of command for problem resolution.</w:t>
      </w:r>
    </w:p>
    <w:p w14:paraId="45C75C07" w14:textId="77777777" w:rsidR="000525E4" w:rsidRDefault="000525E4" w:rsidP="00EB0874">
      <w:pPr>
        <w:pStyle w:val="ListParagraph"/>
        <w:numPr>
          <w:ilvl w:val="0"/>
          <w:numId w:val="174"/>
        </w:numPr>
        <w:tabs>
          <w:tab w:val="left" w:pos="1080"/>
        </w:tabs>
        <w:spacing w:after="160" w:line="259" w:lineRule="auto"/>
        <w:rPr>
          <w:sz w:val="20"/>
          <w:szCs w:val="20"/>
        </w:rPr>
      </w:pPr>
      <w:r w:rsidRPr="003D6A92">
        <w:rPr>
          <w:sz w:val="20"/>
          <w:szCs w:val="20"/>
        </w:rPr>
        <w:t xml:space="preserve">What are the hours of operation of </w:t>
      </w:r>
      <w:r w:rsidR="004C0CE7">
        <w:rPr>
          <w:sz w:val="20"/>
          <w:szCs w:val="20"/>
        </w:rPr>
        <w:t xml:space="preserve">the </w:t>
      </w:r>
      <w:r w:rsidRPr="003D6A92">
        <w:rPr>
          <w:sz w:val="20"/>
          <w:szCs w:val="20"/>
        </w:rPr>
        <w:t xml:space="preserve">customer service unit involved in </w:t>
      </w:r>
      <w:r w:rsidR="004C0CE7">
        <w:rPr>
          <w:sz w:val="20"/>
          <w:szCs w:val="20"/>
        </w:rPr>
        <w:t>supporting the State</w:t>
      </w:r>
      <w:r w:rsidRPr="003D6A92">
        <w:rPr>
          <w:sz w:val="20"/>
          <w:szCs w:val="20"/>
        </w:rPr>
        <w:t xml:space="preserve">? </w:t>
      </w:r>
    </w:p>
    <w:p w14:paraId="0C225396" w14:textId="77777777" w:rsidR="00EB0874" w:rsidRDefault="00EB0874" w:rsidP="00EB0874">
      <w:pPr>
        <w:pStyle w:val="ListParagraph"/>
        <w:numPr>
          <w:ilvl w:val="0"/>
          <w:numId w:val="17"/>
        </w:numPr>
        <w:tabs>
          <w:tab w:val="left" w:pos="1080"/>
        </w:tabs>
        <w:spacing w:after="160" w:line="259" w:lineRule="auto"/>
        <w:rPr>
          <w:sz w:val="20"/>
          <w:szCs w:val="20"/>
        </w:rPr>
      </w:pPr>
      <w:r w:rsidRPr="003D6A92">
        <w:rPr>
          <w:sz w:val="20"/>
          <w:szCs w:val="20"/>
        </w:rPr>
        <w:t xml:space="preserve">IT Resources: Will Firm provide a dedicated IT liaison to work on set-up, file transfer, testing and troubleshooting / issue resolution? During what hours is technical support </w:t>
      </w:r>
      <w:proofErr w:type="gramStart"/>
      <w:r w:rsidRPr="003D6A92">
        <w:rPr>
          <w:sz w:val="20"/>
          <w:szCs w:val="20"/>
        </w:rPr>
        <w:t>available</w:t>
      </w:r>
      <w:proofErr w:type="gramEnd"/>
      <w:r w:rsidRPr="003D6A92">
        <w:rPr>
          <w:sz w:val="20"/>
          <w:szCs w:val="20"/>
        </w:rPr>
        <w:t xml:space="preserve"> (specify time zones)?</w:t>
      </w:r>
    </w:p>
    <w:p w14:paraId="1BED4935" w14:textId="77777777" w:rsidR="003D6A92" w:rsidRPr="00A51423" w:rsidRDefault="000224A1" w:rsidP="00303F48">
      <w:pPr>
        <w:pStyle w:val="Heading5"/>
        <w:numPr>
          <w:ilvl w:val="0"/>
          <w:numId w:val="165"/>
        </w:numPr>
      </w:pPr>
      <w:r>
        <w:t>Local branch banking</w:t>
      </w:r>
    </w:p>
    <w:p w14:paraId="791E3411" w14:textId="77777777" w:rsidR="00F13394" w:rsidRPr="00F13394" w:rsidRDefault="00F13394" w:rsidP="00F13394"/>
    <w:p w14:paraId="16C06AC3" w14:textId="77777777" w:rsidR="00CE32A7" w:rsidRPr="00CE32A7" w:rsidRDefault="003040D7" w:rsidP="00CE32A7">
      <w:pPr>
        <w:pStyle w:val="ListParagraph"/>
        <w:numPr>
          <w:ilvl w:val="0"/>
          <w:numId w:val="18"/>
        </w:numPr>
        <w:tabs>
          <w:tab w:val="left" w:pos="1080"/>
        </w:tabs>
        <w:spacing w:after="160" w:line="259" w:lineRule="auto"/>
        <w:rPr>
          <w:sz w:val="20"/>
          <w:szCs w:val="20"/>
        </w:rPr>
      </w:pPr>
      <w:r w:rsidRPr="00CE32A7">
        <w:rPr>
          <w:sz w:val="20"/>
          <w:szCs w:val="20"/>
        </w:rPr>
        <w:t>Account Set-Up and Structure</w:t>
      </w:r>
    </w:p>
    <w:p w14:paraId="6ECC749B" w14:textId="77777777" w:rsidR="00CE32A7" w:rsidRDefault="00CE32A7" w:rsidP="00CE32A7">
      <w:pPr>
        <w:pStyle w:val="ListParagraph"/>
        <w:tabs>
          <w:tab w:val="left" w:pos="1080"/>
        </w:tabs>
        <w:spacing w:after="160" w:line="259" w:lineRule="auto"/>
        <w:rPr>
          <w:sz w:val="20"/>
          <w:szCs w:val="20"/>
        </w:rPr>
      </w:pPr>
    </w:p>
    <w:p w14:paraId="34A2603C" w14:textId="77777777" w:rsidR="00CE32A7" w:rsidRDefault="00CE32A7" w:rsidP="00CE32A7">
      <w:pPr>
        <w:pStyle w:val="ListParagraph"/>
        <w:tabs>
          <w:tab w:val="left" w:pos="1080"/>
        </w:tabs>
        <w:spacing w:after="160" w:line="259" w:lineRule="auto"/>
        <w:rPr>
          <w:sz w:val="20"/>
          <w:szCs w:val="20"/>
        </w:rPr>
      </w:pPr>
    </w:p>
    <w:p w14:paraId="5452B670" w14:textId="77777777" w:rsidR="005C0FE9" w:rsidRDefault="00FC6CAD" w:rsidP="00FC6CAD">
      <w:pPr>
        <w:pStyle w:val="ListParagraph"/>
        <w:numPr>
          <w:ilvl w:val="1"/>
          <w:numId w:val="18"/>
        </w:numPr>
        <w:tabs>
          <w:tab w:val="left" w:pos="1080"/>
        </w:tabs>
        <w:spacing w:after="160" w:line="259" w:lineRule="auto"/>
        <w:rPr>
          <w:sz w:val="20"/>
          <w:szCs w:val="20"/>
        </w:rPr>
      </w:pPr>
      <w:r>
        <w:rPr>
          <w:sz w:val="20"/>
          <w:szCs w:val="20"/>
        </w:rPr>
        <w:t>How would you propose working with State agenc</w:t>
      </w:r>
      <w:r w:rsidR="00F377C7">
        <w:rPr>
          <w:sz w:val="20"/>
          <w:szCs w:val="20"/>
        </w:rPr>
        <w:t>ies</w:t>
      </w:r>
      <w:r>
        <w:rPr>
          <w:sz w:val="20"/>
          <w:szCs w:val="20"/>
        </w:rPr>
        <w:t xml:space="preserve"> and OST to set up new account</w:t>
      </w:r>
      <w:r w:rsidR="00F377C7">
        <w:rPr>
          <w:sz w:val="20"/>
          <w:szCs w:val="20"/>
        </w:rPr>
        <w:t>s</w:t>
      </w:r>
      <w:r>
        <w:rPr>
          <w:sz w:val="20"/>
          <w:szCs w:val="20"/>
        </w:rPr>
        <w:t xml:space="preserve"> and related functionality in an efficient manner?</w:t>
      </w:r>
      <w:r w:rsidR="00073476">
        <w:rPr>
          <w:sz w:val="20"/>
          <w:szCs w:val="20"/>
        </w:rPr>
        <w:t xml:space="preserve"> </w:t>
      </w:r>
    </w:p>
    <w:p w14:paraId="042DBBF6" w14:textId="77777777" w:rsidR="00FC6CAD" w:rsidRDefault="00073476" w:rsidP="00FC6CAD">
      <w:pPr>
        <w:pStyle w:val="ListParagraph"/>
        <w:numPr>
          <w:ilvl w:val="1"/>
          <w:numId w:val="18"/>
        </w:numPr>
        <w:tabs>
          <w:tab w:val="left" w:pos="1080"/>
        </w:tabs>
        <w:spacing w:after="160" w:line="259" w:lineRule="auto"/>
        <w:rPr>
          <w:sz w:val="20"/>
          <w:szCs w:val="20"/>
        </w:rPr>
      </w:pPr>
      <w:proofErr w:type="gramStart"/>
      <w:r>
        <w:rPr>
          <w:sz w:val="20"/>
          <w:szCs w:val="20"/>
        </w:rPr>
        <w:t>Are you able to enforce a centralized structure whereby the opening, modification, and closing of accounts are all directed</w:t>
      </w:r>
      <w:proofErr w:type="gramEnd"/>
      <w:r>
        <w:rPr>
          <w:sz w:val="20"/>
          <w:szCs w:val="20"/>
        </w:rPr>
        <w:t xml:space="preserve"> by OST?</w:t>
      </w:r>
    </w:p>
    <w:p w14:paraId="6990749A" w14:textId="77777777" w:rsidR="00CD1E6E" w:rsidRDefault="00CD1E6E" w:rsidP="00FC6CAD">
      <w:pPr>
        <w:pStyle w:val="ListParagraph"/>
        <w:numPr>
          <w:ilvl w:val="1"/>
          <w:numId w:val="18"/>
        </w:numPr>
        <w:tabs>
          <w:tab w:val="left" w:pos="1080"/>
        </w:tabs>
        <w:spacing w:after="160" w:line="259" w:lineRule="auto"/>
        <w:rPr>
          <w:sz w:val="20"/>
          <w:szCs w:val="20"/>
        </w:rPr>
      </w:pPr>
      <w:proofErr w:type="gramStart"/>
      <w:r>
        <w:rPr>
          <w:sz w:val="20"/>
          <w:szCs w:val="20"/>
        </w:rPr>
        <w:t xml:space="preserve">Does your Firm offer any </w:t>
      </w:r>
      <w:r w:rsidR="007243AE">
        <w:rPr>
          <w:sz w:val="20"/>
          <w:szCs w:val="20"/>
        </w:rPr>
        <w:t>“no fee” commercial/business accounts for State agencies that have very limited activity (i.e. school district)?</w:t>
      </w:r>
      <w:proofErr w:type="gramEnd"/>
      <w:r w:rsidR="007243AE">
        <w:rPr>
          <w:sz w:val="20"/>
          <w:szCs w:val="20"/>
        </w:rPr>
        <w:t xml:space="preserve">  </w:t>
      </w:r>
      <w:r w:rsidR="007243AE" w:rsidRPr="00C00A39">
        <w:rPr>
          <w:i/>
          <w:sz w:val="20"/>
          <w:szCs w:val="20"/>
        </w:rPr>
        <w:t xml:space="preserve">(Note: </w:t>
      </w:r>
      <w:r w:rsidR="00C00A39" w:rsidRPr="00C00A39">
        <w:rPr>
          <w:i/>
          <w:sz w:val="20"/>
          <w:szCs w:val="20"/>
        </w:rPr>
        <w:t>This approach</w:t>
      </w:r>
      <w:r w:rsidR="00C00A39">
        <w:rPr>
          <w:i/>
          <w:sz w:val="20"/>
          <w:szCs w:val="20"/>
        </w:rPr>
        <w:t xml:space="preserve"> will simplify the need for these State agencies to reconcile account analysis statements and budget for fees.)</w:t>
      </w:r>
      <w:r w:rsidR="00C00A39">
        <w:rPr>
          <w:sz w:val="20"/>
          <w:szCs w:val="20"/>
        </w:rPr>
        <w:t xml:space="preserve"> </w:t>
      </w:r>
    </w:p>
    <w:p w14:paraId="65D6268A" w14:textId="77777777" w:rsidR="00350835" w:rsidRDefault="00FC6CAD" w:rsidP="00FC6CAD">
      <w:pPr>
        <w:pStyle w:val="ListParagraph"/>
        <w:numPr>
          <w:ilvl w:val="1"/>
          <w:numId w:val="18"/>
        </w:numPr>
        <w:tabs>
          <w:tab w:val="left" w:pos="1080"/>
        </w:tabs>
        <w:spacing w:after="160" w:line="259" w:lineRule="auto"/>
        <w:rPr>
          <w:sz w:val="20"/>
          <w:szCs w:val="20"/>
        </w:rPr>
      </w:pPr>
      <w:r>
        <w:rPr>
          <w:sz w:val="20"/>
          <w:szCs w:val="20"/>
        </w:rPr>
        <w:t>Recognizing that many of these State agency accounts may be needed for deposit</w:t>
      </w:r>
      <w:r w:rsidR="00350835">
        <w:rPr>
          <w:sz w:val="20"/>
          <w:szCs w:val="20"/>
        </w:rPr>
        <w:t xml:space="preserve">-only functionality or low-activity accounts, what services are recommended to be added (i.e. check blocks, </w:t>
      </w:r>
      <w:r w:rsidR="006946CA">
        <w:rPr>
          <w:sz w:val="20"/>
          <w:szCs w:val="20"/>
        </w:rPr>
        <w:t>ACH deb</w:t>
      </w:r>
      <w:r w:rsidR="00077ADD">
        <w:rPr>
          <w:sz w:val="20"/>
          <w:szCs w:val="20"/>
        </w:rPr>
        <w:t>i</w:t>
      </w:r>
      <w:r w:rsidR="006946CA">
        <w:rPr>
          <w:sz w:val="20"/>
          <w:szCs w:val="20"/>
        </w:rPr>
        <w:t xml:space="preserve">t blocks, </w:t>
      </w:r>
      <w:r w:rsidR="00350835">
        <w:rPr>
          <w:sz w:val="20"/>
          <w:szCs w:val="20"/>
        </w:rPr>
        <w:t xml:space="preserve">positive pay)?  When making your recommendation, please be mindful of incremental costs of these services relative to the intended purpose of these accounts.   </w:t>
      </w:r>
    </w:p>
    <w:p w14:paraId="639159DE" w14:textId="77777777" w:rsidR="00260362" w:rsidRDefault="00350835" w:rsidP="00FC6CAD">
      <w:pPr>
        <w:pStyle w:val="ListParagraph"/>
        <w:numPr>
          <w:ilvl w:val="1"/>
          <w:numId w:val="18"/>
        </w:numPr>
        <w:tabs>
          <w:tab w:val="left" w:pos="1080"/>
        </w:tabs>
        <w:spacing w:after="160" w:line="259" w:lineRule="auto"/>
        <w:rPr>
          <w:sz w:val="20"/>
          <w:szCs w:val="20"/>
        </w:rPr>
      </w:pPr>
      <w:r>
        <w:rPr>
          <w:sz w:val="20"/>
          <w:szCs w:val="20"/>
        </w:rPr>
        <w:t xml:space="preserve">For accounts with limited disbursement activity (less than 10 checks per month), can reverse positive pay or some other check monitoring </w:t>
      </w:r>
      <w:r w:rsidR="00077ADD">
        <w:rPr>
          <w:sz w:val="20"/>
          <w:szCs w:val="20"/>
        </w:rPr>
        <w:t>process</w:t>
      </w:r>
      <w:r>
        <w:rPr>
          <w:sz w:val="20"/>
          <w:szCs w:val="20"/>
        </w:rPr>
        <w:t xml:space="preserve"> be substituted for positive pay?</w:t>
      </w:r>
    </w:p>
    <w:p w14:paraId="5A317C67" w14:textId="77777777" w:rsidR="00844743" w:rsidRDefault="00844743" w:rsidP="00844743">
      <w:pPr>
        <w:pStyle w:val="ListParagraph"/>
        <w:numPr>
          <w:ilvl w:val="1"/>
          <w:numId w:val="18"/>
        </w:numPr>
        <w:tabs>
          <w:tab w:val="left" w:pos="1080"/>
        </w:tabs>
        <w:spacing w:after="160" w:line="259" w:lineRule="auto"/>
        <w:rPr>
          <w:sz w:val="20"/>
          <w:szCs w:val="20"/>
        </w:rPr>
      </w:pPr>
      <w:r>
        <w:rPr>
          <w:sz w:val="20"/>
          <w:szCs w:val="20"/>
        </w:rPr>
        <w:t>W</w:t>
      </w:r>
      <w:r w:rsidRPr="00844743">
        <w:rPr>
          <w:sz w:val="20"/>
          <w:szCs w:val="20"/>
        </w:rPr>
        <w:t>hat is the bank’s policy</w:t>
      </w:r>
      <w:r>
        <w:rPr>
          <w:sz w:val="20"/>
          <w:szCs w:val="20"/>
        </w:rPr>
        <w:t xml:space="preserve"> or recourse available by </w:t>
      </w:r>
      <w:r w:rsidR="00F377C7">
        <w:rPr>
          <w:sz w:val="20"/>
          <w:szCs w:val="20"/>
        </w:rPr>
        <w:t>a</w:t>
      </w:r>
      <w:r>
        <w:rPr>
          <w:sz w:val="20"/>
          <w:szCs w:val="20"/>
        </w:rPr>
        <w:t xml:space="preserve"> State agency</w:t>
      </w:r>
      <w:r w:rsidRPr="00844743">
        <w:rPr>
          <w:sz w:val="20"/>
          <w:szCs w:val="20"/>
        </w:rPr>
        <w:t xml:space="preserve"> if a fraudulent item posts to an account that does not have positive pay?</w:t>
      </w:r>
    </w:p>
    <w:p w14:paraId="377E64B1" w14:textId="77777777" w:rsidR="00260362" w:rsidRDefault="00260362" w:rsidP="00844743">
      <w:pPr>
        <w:pStyle w:val="ListParagraph"/>
        <w:numPr>
          <w:ilvl w:val="1"/>
          <w:numId w:val="18"/>
        </w:numPr>
        <w:tabs>
          <w:tab w:val="left" w:pos="1080"/>
        </w:tabs>
        <w:spacing w:after="160" w:line="259" w:lineRule="auto"/>
        <w:rPr>
          <w:sz w:val="20"/>
          <w:szCs w:val="20"/>
        </w:rPr>
      </w:pPr>
      <w:r>
        <w:rPr>
          <w:sz w:val="20"/>
          <w:szCs w:val="20"/>
        </w:rPr>
        <w:t xml:space="preserve">What </w:t>
      </w:r>
      <w:r w:rsidR="00E668BC">
        <w:rPr>
          <w:sz w:val="20"/>
          <w:szCs w:val="20"/>
        </w:rPr>
        <w:t xml:space="preserve">oversight </w:t>
      </w:r>
      <w:r>
        <w:rPr>
          <w:sz w:val="20"/>
          <w:szCs w:val="20"/>
        </w:rPr>
        <w:t xml:space="preserve">reports </w:t>
      </w:r>
      <w:r w:rsidR="00E668BC">
        <w:rPr>
          <w:sz w:val="20"/>
          <w:szCs w:val="20"/>
        </w:rPr>
        <w:t xml:space="preserve">will be available to </w:t>
      </w:r>
      <w:r>
        <w:rPr>
          <w:sz w:val="20"/>
          <w:szCs w:val="20"/>
        </w:rPr>
        <w:t>OST to oversee the</w:t>
      </w:r>
      <w:r w:rsidR="00E668BC">
        <w:rPr>
          <w:sz w:val="20"/>
          <w:szCs w:val="20"/>
        </w:rPr>
        <w:t xml:space="preserve"> accounts maintained at your Firm</w:t>
      </w:r>
      <w:r>
        <w:rPr>
          <w:sz w:val="20"/>
          <w:szCs w:val="20"/>
        </w:rPr>
        <w:t>?</w:t>
      </w:r>
    </w:p>
    <w:p w14:paraId="06E9BC03" w14:textId="77777777" w:rsidR="003D6A92" w:rsidRDefault="00910434" w:rsidP="001777FA">
      <w:pPr>
        <w:pStyle w:val="ListParagraph"/>
        <w:numPr>
          <w:ilvl w:val="0"/>
          <w:numId w:val="18"/>
        </w:numPr>
        <w:tabs>
          <w:tab w:val="left" w:pos="1080"/>
        </w:tabs>
        <w:spacing w:after="160" w:line="259" w:lineRule="auto"/>
        <w:rPr>
          <w:sz w:val="20"/>
          <w:szCs w:val="20"/>
        </w:rPr>
      </w:pPr>
      <w:r>
        <w:rPr>
          <w:sz w:val="20"/>
          <w:szCs w:val="20"/>
        </w:rPr>
        <w:t xml:space="preserve">Physical </w:t>
      </w:r>
      <w:r w:rsidR="003D6A92" w:rsidRPr="003D6A92">
        <w:rPr>
          <w:sz w:val="20"/>
          <w:szCs w:val="20"/>
        </w:rPr>
        <w:t xml:space="preserve">Deposit </w:t>
      </w:r>
      <w:r w:rsidR="00C718BD">
        <w:rPr>
          <w:sz w:val="20"/>
          <w:szCs w:val="20"/>
        </w:rPr>
        <w:t>Processing</w:t>
      </w:r>
    </w:p>
    <w:p w14:paraId="4FDE6D2C" w14:textId="77777777" w:rsidR="00844743" w:rsidRDefault="00844743" w:rsidP="00844743">
      <w:pPr>
        <w:pStyle w:val="ListParagraph"/>
        <w:numPr>
          <w:ilvl w:val="1"/>
          <w:numId w:val="18"/>
        </w:numPr>
        <w:spacing w:line="259" w:lineRule="auto"/>
        <w:rPr>
          <w:sz w:val="20"/>
          <w:szCs w:val="20"/>
        </w:rPr>
      </w:pPr>
      <w:r w:rsidRPr="00C179C2">
        <w:rPr>
          <w:sz w:val="20"/>
          <w:szCs w:val="20"/>
        </w:rPr>
        <w:t>How many bank branches do</w:t>
      </w:r>
      <w:r>
        <w:rPr>
          <w:sz w:val="20"/>
          <w:szCs w:val="20"/>
        </w:rPr>
        <w:t>es</w:t>
      </w:r>
      <w:r w:rsidRPr="00C179C2">
        <w:rPr>
          <w:sz w:val="20"/>
          <w:szCs w:val="20"/>
        </w:rPr>
        <w:t xml:space="preserve"> you</w:t>
      </w:r>
      <w:r>
        <w:rPr>
          <w:sz w:val="20"/>
          <w:szCs w:val="20"/>
        </w:rPr>
        <w:t>r Firm</w:t>
      </w:r>
      <w:r w:rsidRPr="00C179C2">
        <w:rPr>
          <w:sz w:val="20"/>
          <w:szCs w:val="20"/>
        </w:rPr>
        <w:t xml:space="preserve"> have in the State of Delaware?</w:t>
      </w:r>
    </w:p>
    <w:p w14:paraId="230EFFA9" w14:textId="77777777" w:rsidR="00844743" w:rsidRPr="008D262D" w:rsidRDefault="00844743" w:rsidP="00844743">
      <w:pPr>
        <w:pStyle w:val="ListParagraph"/>
        <w:rPr>
          <w:sz w:val="20"/>
          <w:szCs w:val="20"/>
        </w:rPr>
      </w:pPr>
    </w:p>
    <w:p w14:paraId="1172C599" w14:textId="77777777" w:rsidR="00844743" w:rsidRDefault="00844743" w:rsidP="00844743">
      <w:pPr>
        <w:pStyle w:val="ListParagraph"/>
        <w:numPr>
          <w:ilvl w:val="2"/>
          <w:numId w:val="18"/>
        </w:numPr>
        <w:spacing w:line="259" w:lineRule="auto"/>
        <w:ind w:left="1980" w:hanging="270"/>
        <w:rPr>
          <w:sz w:val="20"/>
          <w:szCs w:val="20"/>
        </w:rPr>
      </w:pPr>
      <w:r>
        <w:rPr>
          <w:sz w:val="20"/>
          <w:szCs w:val="20"/>
        </w:rPr>
        <w:t xml:space="preserve">How many bank branches does your </w:t>
      </w:r>
      <w:r w:rsidR="006C6534">
        <w:rPr>
          <w:sz w:val="20"/>
          <w:szCs w:val="20"/>
        </w:rPr>
        <w:t>F</w:t>
      </w:r>
      <w:r>
        <w:rPr>
          <w:sz w:val="20"/>
          <w:szCs w:val="20"/>
        </w:rPr>
        <w:t xml:space="preserve">irm have in New Castle County? </w:t>
      </w:r>
    </w:p>
    <w:p w14:paraId="7B1331D4" w14:textId="77777777" w:rsidR="00844743" w:rsidRDefault="00844743" w:rsidP="00844743">
      <w:pPr>
        <w:pStyle w:val="ListParagraph"/>
        <w:spacing w:line="259" w:lineRule="auto"/>
        <w:ind w:left="1980" w:hanging="270"/>
        <w:rPr>
          <w:sz w:val="20"/>
          <w:szCs w:val="20"/>
        </w:rPr>
      </w:pPr>
    </w:p>
    <w:p w14:paraId="2A6B9B83" w14:textId="77777777" w:rsidR="00844743" w:rsidRDefault="00844743" w:rsidP="00844743">
      <w:pPr>
        <w:pStyle w:val="ListParagraph"/>
        <w:numPr>
          <w:ilvl w:val="2"/>
          <w:numId w:val="18"/>
        </w:numPr>
        <w:spacing w:line="259" w:lineRule="auto"/>
        <w:ind w:left="1980" w:hanging="270"/>
        <w:rPr>
          <w:sz w:val="20"/>
          <w:szCs w:val="20"/>
        </w:rPr>
      </w:pPr>
      <w:r>
        <w:rPr>
          <w:sz w:val="20"/>
          <w:szCs w:val="20"/>
        </w:rPr>
        <w:t xml:space="preserve">How many bank branches does your </w:t>
      </w:r>
      <w:r w:rsidR="006C6534">
        <w:rPr>
          <w:sz w:val="20"/>
          <w:szCs w:val="20"/>
        </w:rPr>
        <w:t>F</w:t>
      </w:r>
      <w:r>
        <w:rPr>
          <w:sz w:val="20"/>
          <w:szCs w:val="20"/>
        </w:rPr>
        <w:t xml:space="preserve">irm have in Kent County? </w:t>
      </w:r>
    </w:p>
    <w:p w14:paraId="7D39B00D" w14:textId="77777777" w:rsidR="00844743" w:rsidRPr="008D262D" w:rsidRDefault="00844743" w:rsidP="00844743">
      <w:pPr>
        <w:pStyle w:val="ListParagraph"/>
        <w:ind w:left="1980" w:hanging="270"/>
        <w:rPr>
          <w:sz w:val="20"/>
          <w:szCs w:val="20"/>
        </w:rPr>
      </w:pPr>
    </w:p>
    <w:p w14:paraId="2923DD28" w14:textId="77777777" w:rsidR="00844743" w:rsidRDefault="00844743" w:rsidP="00844743">
      <w:pPr>
        <w:pStyle w:val="ListParagraph"/>
        <w:numPr>
          <w:ilvl w:val="2"/>
          <w:numId w:val="18"/>
        </w:numPr>
        <w:spacing w:line="259" w:lineRule="auto"/>
        <w:ind w:left="1980" w:hanging="270"/>
        <w:rPr>
          <w:sz w:val="20"/>
          <w:szCs w:val="20"/>
        </w:rPr>
      </w:pPr>
      <w:r>
        <w:rPr>
          <w:sz w:val="20"/>
          <w:szCs w:val="20"/>
        </w:rPr>
        <w:t xml:space="preserve">How many bank branches does your </w:t>
      </w:r>
      <w:r w:rsidR="006C6534">
        <w:rPr>
          <w:sz w:val="20"/>
          <w:szCs w:val="20"/>
        </w:rPr>
        <w:t>F</w:t>
      </w:r>
      <w:r>
        <w:rPr>
          <w:sz w:val="20"/>
          <w:szCs w:val="20"/>
        </w:rPr>
        <w:t xml:space="preserve">irm have in Sussex County? </w:t>
      </w:r>
    </w:p>
    <w:p w14:paraId="5FE819E0" w14:textId="77777777" w:rsidR="00844743" w:rsidRPr="00844743" w:rsidRDefault="00844743" w:rsidP="00844743">
      <w:pPr>
        <w:pStyle w:val="ListParagraph"/>
        <w:rPr>
          <w:sz w:val="20"/>
          <w:szCs w:val="20"/>
        </w:rPr>
      </w:pPr>
    </w:p>
    <w:p w14:paraId="6635981D" w14:textId="77777777" w:rsidR="00C718BD" w:rsidRDefault="00C718BD" w:rsidP="00844BA2">
      <w:pPr>
        <w:pStyle w:val="ListParagraph"/>
        <w:numPr>
          <w:ilvl w:val="1"/>
          <w:numId w:val="18"/>
        </w:numPr>
        <w:rPr>
          <w:sz w:val="20"/>
          <w:szCs w:val="20"/>
        </w:rPr>
      </w:pPr>
      <w:r w:rsidRPr="00C718BD">
        <w:rPr>
          <w:sz w:val="20"/>
          <w:szCs w:val="20"/>
        </w:rPr>
        <w:t>F</w:t>
      </w:r>
      <w:r>
        <w:rPr>
          <w:sz w:val="20"/>
          <w:szCs w:val="20"/>
        </w:rPr>
        <w:t>or each of the State</w:t>
      </w:r>
      <w:r w:rsidRPr="00C718BD">
        <w:rPr>
          <w:sz w:val="20"/>
          <w:szCs w:val="20"/>
        </w:rPr>
        <w:t xml:space="preserve">’s locations listed below, complete the table with the number of branches the Firm has within </w:t>
      </w:r>
      <w:proofErr w:type="gramStart"/>
      <w:r w:rsidRPr="00844BA2">
        <w:rPr>
          <w:sz w:val="20"/>
          <w:szCs w:val="20"/>
        </w:rPr>
        <w:t>5</w:t>
      </w:r>
      <w:proofErr w:type="gramEnd"/>
      <w:r w:rsidR="00866EF6">
        <w:rPr>
          <w:sz w:val="20"/>
          <w:szCs w:val="20"/>
        </w:rPr>
        <w:t xml:space="preserve"> driving</w:t>
      </w:r>
      <w:r w:rsidRPr="00C718BD">
        <w:rPr>
          <w:sz w:val="20"/>
          <w:szCs w:val="20"/>
        </w:rPr>
        <w:t xml:space="preserve"> miles and the address of the closest branch.</w:t>
      </w:r>
    </w:p>
    <w:p w14:paraId="31198666" w14:textId="77777777" w:rsidR="00C718BD" w:rsidRDefault="00C718BD" w:rsidP="00844BA2">
      <w:pPr>
        <w:pStyle w:val="ListParagraph"/>
        <w:ind w:left="1440"/>
        <w:rPr>
          <w:sz w:val="20"/>
          <w:szCs w:val="20"/>
        </w:rPr>
      </w:pPr>
    </w:p>
    <w:tbl>
      <w:tblPr>
        <w:tblW w:w="5580" w:type="dxa"/>
        <w:tblInd w:w="144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4005"/>
        <w:gridCol w:w="1575"/>
      </w:tblGrid>
      <w:tr w:rsidR="00CE32A7" w:rsidRPr="00347449" w14:paraId="1ADB6B3B" w14:textId="77777777" w:rsidTr="00CE32A7">
        <w:trPr>
          <w:trHeight w:val="426"/>
        </w:trPr>
        <w:tc>
          <w:tcPr>
            <w:tcW w:w="4005" w:type="dxa"/>
            <w:shd w:val="clear" w:color="auto" w:fill="FFFFFF"/>
            <w:vAlign w:val="center"/>
          </w:tcPr>
          <w:p w14:paraId="3B45C62E" w14:textId="77777777" w:rsidR="00CE32A7" w:rsidRPr="0080739B" w:rsidRDefault="00CE32A7" w:rsidP="00CE32A7">
            <w:pPr>
              <w:pStyle w:val="TableParagraph"/>
              <w:ind w:left="0"/>
              <w:rPr>
                <w:rFonts w:ascii="Arial" w:hAnsi="Arial" w:cs="Arial"/>
                <w:b/>
                <w:sz w:val="18"/>
                <w:szCs w:val="18"/>
              </w:rPr>
            </w:pPr>
            <w:r>
              <w:rPr>
                <w:rFonts w:ascii="Arial" w:hAnsi="Arial" w:cs="Arial"/>
                <w:b/>
                <w:sz w:val="18"/>
                <w:szCs w:val="18"/>
              </w:rPr>
              <w:t>Agency</w:t>
            </w:r>
          </w:p>
        </w:tc>
        <w:tc>
          <w:tcPr>
            <w:tcW w:w="1575" w:type="dxa"/>
            <w:tcBorders>
              <w:top w:val="single" w:sz="8" w:space="0" w:color="auto"/>
            </w:tcBorders>
            <w:shd w:val="clear" w:color="auto" w:fill="F2F2F2" w:themeFill="background1" w:themeFillShade="F2"/>
            <w:vAlign w:val="center"/>
          </w:tcPr>
          <w:p w14:paraId="7ED0A55A" w14:textId="77777777" w:rsidR="00CE32A7" w:rsidRDefault="00CE32A7" w:rsidP="00CE32A7">
            <w:pPr>
              <w:pStyle w:val="TableParagraph"/>
              <w:ind w:left="0"/>
              <w:jc w:val="center"/>
              <w:rPr>
                <w:rFonts w:ascii="Arial" w:hAnsi="Arial" w:cs="Arial"/>
                <w:b/>
                <w:sz w:val="18"/>
                <w:szCs w:val="18"/>
              </w:rPr>
            </w:pPr>
            <w:r>
              <w:rPr>
                <w:rFonts w:ascii="Arial" w:hAnsi="Arial" w:cs="Arial"/>
                <w:b/>
                <w:sz w:val="18"/>
                <w:szCs w:val="18"/>
              </w:rPr>
              <w:t># of Branches</w:t>
            </w:r>
          </w:p>
          <w:p w14:paraId="25647B50" w14:textId="77777777" w:rsidR="00CE32A7" w:rsidRPr="00616F0B" w:rsidRDefault="00CE32A7" w:rsidP="00CE32A7">
            <w:pPr>
              <w:pStyle w:val="TableParagraph"/>
              <w:ind w:left="0"/>
              <w:jc w:val="center"/>
              <w:rPr>
                <w:rFonts w:ascii="Arial" w:hAnsi="Arial" w:cs="Arial"/>
                <w:b/>
                <w:sz w:val="18"/>
                <w:szCs w:val="18"/>
              </w:rPr>
            </w:pPr>
            <w:r>
              <w:rPr>
                <w:rFonts w:ascii="Arial" w:hAnsi="Arial" w:cs="Arial"/>
                <w:b/>
                <w:sz w:val="18"/>
                <w:szCs w:val="18"/>
              </w:rPr>
              <w:t xml:space="preserve">Within </w:t>
            </w:r>
            <w:r w:rsidRPr="00844BA2">
              <w:rPr>
                <w:rFonts w:ascii="Arial" w:hAnsi="Arial" w:cs="Arial"/>
                <w:b/>
                <w:sz w:val="18"/>
                <w:szCs w:val="18"/>
              </w:rPr>
              <w:t>5</w:t>
            </w:r>
            <w:r>
              <w:rPr>
                <w:rFonts w:ascii="Arial" w:hAnsi="Arial" w:cs="Arial"/>
                <w:b/>
                <w:sz w:val="18"/>
                <w:szCs w:val="18"/>
              </w:rPr>
              <w:t xml:space="preserve"> Miles</w:t>
            </w:r>
          </w:p>
        </w:tc>
      </w:tr>
      <w:tr w:rsidR="00CE32A7" w:rsidRPr="00341151" w14:paraId="5AFFEF0E" w14:textId="77777777" w:rsidTr="00CE32A7">
        <w:trPr>
          <w:trHeight w:val="435"/>
        </w:trPr>
        <w:tc>
          <w:tcPr>
            <w:tcW w:w="4005" w:type="dxa"/>
            <w:shd w:val="clear" w:color="auto" w:fill="FFFFFF"/>
            <w:vAlign w:val="center"/>
          </w:tcPr>
          <w:p w14:paraId="6EAD6EA1" w14:textId="77777777" w:rsidR="00CE32A7" w:rsidRDefault="00CE32A7" w:rsidP="00CE32A7">
            <w:pPr>
              <w:pStyle w:val="TableParagraph"/>
              <w:ind w:left="0"/>
              <w:rPr>
                <w:rFonts w:ascii="Arial" w:hAnsi="Arial" w:cs="Arial"/>
                <w:sz w:val="18"/>
                <w:szCs w:val="18"/>
              </w:rPr>
            </w:pPr>
            <w:r>
              <w:rPr>
                <w:rFonts w:ascii="Arial" w:hAnsi="Arial" w:cs="Arial"/>
                <w:sz w:val="18"/>
                <w:szCs w:val="18"/>
              </w:rPr>
              <w:t>Auditor of Accounts</w:t>
            </w:r>
          </w:p>
          <w:p w14:paraId="0E79F92C"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401 Federal Street, Townsend Building, Suite 1</w:t>
            </w:r>
          </w:p>
          <w:p w14:paraId="7858C900"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Dover, DE 19901</w:t>
            </w:r>
          </w:p>
        </w:tc>
        <w:tc>
          <w:tcPr>
            <w:tcW w:w="1575" w:type="dxa"/>
            <w:shd w:val="clear" w:color="auto" w:fill="auto"/>
            <w:vAlign w:val="center"/>
          </w:tcPr>
          <w:p w14:paraId="0123F1CD" w14:textId="77777777" w:rsidR="00CE32A7" w:rsidRPr="00616F0B" w:rsidRDefault="00CE32A7" w:rsidP="00CE32A7">
            <w:pPr>
              <w:pStyle w:val="TableParagraph"/>
              <w:ind w:left="0"/>
              <w:rPr>
                <w:rFonts w:ascii="Arial" w:hAnsi="Arial" w:cs="Arial"/>
                <w:sz w:val="18"/>
                <w:szCs w:val="18"/>
              </w:rPr>
            </w:pPr>
          </w:p>
        </w:tc>
      </w:tr>
      <w:tr w:rsidR="00CE32A7" w:rsidRPr="00341151" w14:paraId="23335158" w14:textId="77777777" w:rsidTr="00CE32A7">
        <w:trPr>
          <w:trHeight w:val="435"/>
        </w:trPr>
        <w:tc>
          <w:tcPr>
            <w:tcW w:w="4005" w:type="dxa"/>
            <w:shd w:val="clear" w:color="auto" w:fill="FFFFFF"/>
            <w:vAlign w:val="center"/>
          </w:tcPr>
          <w:p w14:paraId="2782E506" w14:textId="77777777" w:rsidR="00CE32A7" w:rsidRDefault="00CE32A7" w:rsidP="00CE32A7">
            <w:pPr>
              <w:pStyle w:val="TableParagraph"/>
              <w:ind w:left="0"/>
              <w:rPr>
                <w:rFonts w:ascii="Arial" w:hAnsi="Arial" w:cs="Arial"/>
                <w:sz w:val="18"/>
                <w:szCs w:val="18"/>
              </w:rPr>
            </w:pPr>
            <w:r>
              <w:rPr>
                <w:rFonts w:ascii="Arial" w:hAnsi="Arial" w:cs="Arial"/>
                <w:sz w:val="18"/>
                <w:szCs w:val="18"/>
              </w:rPr>
              <w:t>Bureau Chief</w:t>
            </w:r>
          </w:p>
          <w:p w14:paraId="6398DC90"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245 McKee Road</w:t>
            </w:r>
          </w:p>
          <w:p w14:paraId="7A5261CA"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Dover, DE 19904</w:t>
            </w:r>
          </w:p>
        </w:tc>
        <w:tc>
          <w:tcPr>
            <w:tcW w:w="1575" w:type="dxa"/>
            <w:shd w:val="clear" w:color="auto" w:fill="auto"/>
            <w:vAlign w:val="center"/>
          </w:tcPr>
          <w:p w14:paraId="457E8EA6" w14:textId="77777777" w:rsidR="00CE32A7" w:rsidRPr="00616F0B" w:rsidRDefault="00CE32A7" w:rsidP="00CE32A7">
            <w:pPr>
              <w:pStyle w:val="TableParagraph"/>
              <w:ind w:left="0"/>
              <w:rPr>
                <w:rFonts w:ascii="Arial" w:hAnsi="Arial" w:cs="Arial"/>
                <w:sz w:val="18"/>
                <w:szCs w:val="18"/>
              </w:rPr>
            </w:pPr>
          </w:p>
        </w:tc>
      </w:tr>
      <w:tr w:rsidR="00CE32A7" w:rsidRPr="00341151" w14:paraId="0AB4FA10" w14:textId="77777777" w:rsidTr="00CE32A7">
        <w:trPr>
          <w:trHeight w:val="435"/>
        </w:trPr>
        <w:tc>
          <w:tcPr>
            <w:tcW w:w="4005" w:type="dxa"/>
            <w:shd w:val="clear" w:color="auto" w:fill="FFFFFF"/>
            <w:vAlign w:val="center"/>
          </w:tcPr>
          <w:p w14:paraId="02C46B0C" w14:textId="77777777" w:rsidR="00CE32A7" w:rsidRDefault="00CE32A7" w:rsidP="00CE32A7">
            <w:pPr>
              <w:pStyle w:val="TableParagraph"/>
              <w:ind w:left="0"/>
              <w:rPr>
                <w:rFonts w:ascii="Arial" w:hAnsi="Arial" w:cs="Arial"/>
                <w:sz w:val="18"/>
                <w:szCs w:val="18"/>
              </w:rPr>
            </w:pPr>
            <w:r>
              <w:rPr>
                <w:rFonts w:ascii="Arial" w:hAnsi="Arial" w:cs="Arial"/>
                <w:sz w:val="18"/>
                <w:szCs w:val="18"/>
              </w:rPr>
              <w:t>Child Support Services</w:t>
            </w:r>
          </w:p>
          <w:p w14:paraId="444B692D"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Main Administration Building, Third Floor, 1901 N. Du Pont Highway, Main Bldg.</w:t>
            </w:r>
          </w:p>
          <w:p w14:paraId="1C0EB792" w14:textId="77777777" w:rsidR="00653515" w:rsidRPr="00D92A65" w:rsidRDefault="00CE32A7" w:rsidP="00CE32A7">
            <w:pPr>
              <w:pStyle w:val="TableParagraph"/>
              <w:ind w:left="0"/>
              <w:rPr>
                <w:rFonts w:ascii="Arial" w:hAnsi="Arial" w:cs="Arial"/>
                <w:sz w:val="18"/>
                <w:szCs w:val="18"/>
              </w:rPr>
            </w:pPr>
            <w:r w:rsidRPr="003B5D78">
              <w:rPr>
                <w:rFonts w:ascii="Arial" w:hAnsi="Arial" w:cs="Arial"/>
                <w:sz w:val="18"/>
                <w:szCs w:val="18"/>
              </w:rPr>
              <w:t>New Castle, DE 19720</w:t>
            </w:r>
          </w:p>
        </w:tc>
        <w:tc>
          <w:tcPr>
            <w:tcW w:w="1575" w:type="dxa"/>
            <w:shd w:val="clear" w:color="auto" w:fill="auto"/>
            <w:vAlign w:val="center"/>
          </w:tcPr>
          <w:p w14:paraId="7BA52CCF" w14:textId="77777777" w:rsidR="00CE32A7" w:rsidRPr="00616F0B" w:rsidRDefault="00CE32A7" w:rsidP="00CE32A7">
            <w:pPr>
              <w:pStyle w:val="TableParagraph"/>
              <w:ind w:left="0"/>
              <w:rPr>
                <w:rFonts w:ascii="Arial" w:hAnsi="Arial" w:cs="Arial"/>
                <w:sz w:val="18"/>
                <w:szCs w:val="18"/>
              </w:rPr>
            </w:pPr>
          </w:p>
        </w:tc>
      </w:tr>
      <w:tr w:rsidR="00F90E0A" w:rsidRPr="00341151" w14:paraId="419B8F13" w14:textId="77777777" w:rsidTr="00CE32A7">
        <w:trPr>
          <w:trHeight w:val="435"/>
        </w:trPr>
        <w:tc>
          <w:tcPr>
            <w:tcW w:w="4005" w:type="dxa"/>
            <w:shd w:val="clear" w:color="auto" w:fill="FFFFFF"/>
            <w:vAlign w:val="center"/>
          </w:tcPr>
          <w:p w14:paraId="5BE9EAD6" w14:textId="77777777" w:rsidR="00F90E0A" w:rsidRDefault="00F90E0A" w:rsidP="00CE32A7">
            <w:pPr>
              <w:pStyle w:val="TableParagraph"/>
              <w:ind w:left="0"/>
              <w:rPr>
                <w:rFonts w:ascii="Arial" w:hAnsi="Arial" w:cs="Arial"/>
                <w:sz w:val="18"/>
                <w:szCs w:val="18"/>
              </w:rPr>
            </w:pPr>
            <w:r>
              <w:rPr>
                <w:rFonts w:ascii="Arial" w:hAnsi="Arial" w:cs="Arial"/>
                <w:sz w:val="18"/>
                <w:szCs w:val="18"/>
              </w:rPr>
              <w:t>Court of Chancery – New Castle</w:t>
            </w:r>
          </w:p>
          <w:p w14:paraId="37E30855" w14:textId="77777777" w:rsidR="00F90E0A" w:rsidRDefault="00F90E0A" w:rsidP="00F90E0A">
            <w:pPr>
              <w:pStyle w:val="TableParagraph"/>
              <w:ind w:left="0"/>
              <w:rPr>
                <w:rFonts w:ascii="Arial" w:hAnsi="Arial" w:cs="Arial"/>
                <w:sz w:val="18"/>
                <w:szCs w:val="18"/>
              </w:rPr>
            </w:pPr>
            <w:r>
              <w:rPr>
                <w:rFonts w:ascii="Arial" w:hAnsi="Arial" w:cs="Arial"/>
                <w:sz w:val="18"/>
                <w:szCs w:val="18"/>
              </w:rPr>
              <w:t>Leonard L. Williams Justice Center</w:t>
            </w:r>
          </w:p>
          <w:p w14:paraId="1BC370A2" w14:textId="77777777" w:rsidR="00F90E0A" w:rsidRDefault="00F90E0A" w:rsidP="00F90E0A">
            <w:pPr>
              <w:pStyle w:val="TableParagraph"/>
              <w:ind w:left="0"/>
              <w:rPr>
                <w:rFonts w:ascii="Arial" w:hAnsi="Arial" w:cs="Arial"/>
                <w:sz w:val="18"/>
                <w:szCs w:val="18"/>
              </w:rPr>
            </w:pPr>
            <w:r w:rsidRPr="00CC34E6">
              <w:rPr>
                <w:rFonts w:ascii="Arial" w:hAnsi="Arial" w:cs="Arial"/>
                <w:sz w:val="18"/>
                <w:szCs w:val="18"/>
              </w:rPr>
              <w:t xml:space="preserve">500 </w:t>
            </w:r>
            <w:r w:rsidRPr="009E66DB">
              <w:rPr>
                <w:rFonts w:ascii="Arial" w:hAnsi="Arial" w:cs="Arial"/>
                <w:sz w:val="18"/>
                <w:szCs w:val="18"/>
              </w:rPr>
              <w:t>N</w:t>
            </w:r>
            <w:r w:rsidRPr="00A34D96">
              <w:rPr>
                <w:rFonts w:ascii="Arial" w:hAnsi="Arial" w:cs="Arial"/>
                <w:sz w:val="18"/>
                <w:szCs w:val="18"/>
              </w:rPr>
              <w:t>. King St.</w:t>
            </w:r>
          </w:p>
          <w:p w14:paraId="33C4C2D4" w14:textId="77777777" w:rsidR="00F90E0A" w:rsidRDefault="00F90E0A" w:rsidP="00F90E0A">
            <w:pPr>
              <w:pStyle w:val="TableParagraph"/>
              <w:ind w:left="0"/>
              <w:rPr>
                <w:rFonts w:ascii="Arial" w:hAnsi="Arial" w:cs="Arial"/>
                <w:sz w:val="18"/>
                <w:szCs w:val="18"/>
              </w:rPr>
            </w:pPr>
            <w:r>
              <w:rPr>
                <w:rFonts w:ascii="Arial" w:hAnsi="Arial" w:cs="Arial"/>
                <w:sz w:val="18"/>
                <w:szCs w:val="18"/>
              </w:rPr>
              <w:t>Wilmington, DE 19801</w:t>
            </w:r>
          </w:p>
        </w:tc>
        <w:tc>
          <w:tcPr>
            <w:tcW w:w="1575" w:type="dxa"/>
            <w:shd w:val="clear" w:color="auto" w:fill="auto"/>
            <w:vAlign w:val="center"/>
          </w:tcPr>
          <w:p w14:paraId="1E731FE6" w14:textId="77777777" w:rsidR="00F90E0A" w:rsidRPr="00616F0B" w:rsidRDefault="00F90E0A" w:rsidP="00CE32A7">
            <w:pPr>
              <w:pStyle w:val="TableParagraph"/>
              <w:ind w:left="0"/>
              <w:rPr>
                <w:rFonts w:ascii="Arial" w:hAnsi="Arial" w:cs="Arial"/>
                <w:sz w:val="18"/>
                <w:szCs w:val="18"/>
              </w:rPr>
            </w:pPr>
          </w:p>
        </w:tc>
      </w:tr>
      <w:tr w:rsidR="00F90E0A" w:rsidRPr="00341151" w14:paraId="6E4E4B24" w14:textId="77777777" w:rsidTr="00CE32A7">
        <w:trPr>
          <w:trHeight w:val="435"/>
        </w:trPr>
        <w:tc>
          <w:tcPr>
            <w:tcW w:w="4005" w:type="dxa"/>
            <w:shd w:val="clear" w:color="auto" w:fill="FFFFFF"/>
            <w:vAlign w:val="center"/>
          </w:tcPr>
          <w:p w14:paraId="07CCA18D" w14:textId="77777777" w:rsidR="00F90E0A" w:rsidRDefault="00F90E0A" w:rsidP="00CE32A7">
            <w:pPr>
              <w:pStyle w:val="TableParagraph"/>
              <w:ind w:left="0"/>
              <w:rPr>
                <w:rFonts w:ascii="Arial" w:hAnsi="Arial" w:cs="Arial"/>
                <w:sz w:val="18"/>
                <w:szCs w:val="18"/>
              </w:rPr>
            </w:pPr>
            <w:r>
              <w:rPr>
                <w:rFonts w:ascii="Arial" w:hAnsi="Arial" w:cs="Arial"/>
                <w:sz w:val="18"/>
                <w:szCs w:val="18"/>
              </w:rPr>
              <w:t>Court of Chancery – Kent</w:t>
            </w:r>
          </w:p>
          <w:p w14:paraId="505E42F0" w14:textId="77777777" w:rsidR="00F90E0A" w:rsidRDefault="00F90E0A" w:rsidP="00F90E0A">
            <w:pPr>
              <w:pStyle w:val="TableParagraph"/>
              <w:ind w:left="0"/>
              <w:rPr>
                <w:rFonts w:ascii="Arial" w:hAnsi="Arial" w:cs="Arial"/>
                <w:sz w:val="18"/>
                <w:szCs w:val="18"/>
              </w:rPr>
            </w:pPr>
            <w:r>
              <w:rPr>
                <w:rFonts w:ascii="Arial" w:hAnsi="Arial" w:cs="Arial"/>
                <w:sz w:val="18"/>
                <w:szCs w:val="18"/>
              </w:rPr>
              <w:t>Kent County Courthouse</w:t>
            </w:r>
          </w:p>
          <w:p w14:paraId="4B3ACB2D" w14:textId="77777777" w:rsidR="00F90E0A" w:rsidRDefault="00F90E0A" w:rsidP="00F90E0A">
            <w:pPr>
              <w:pStyle w:val="TableParagraph"/>
              <w:ind w:left="0"/>
              <w:rPr>
                <w:rFonts w:ascii="Arial" w:hAnsi="Arial" w:cs="Arial"/>
                <w:sz w:val="18"/>
                <w:szCs w:val="18"/>
              </w:rPr>
            </w:pPr>
            <w:r>
              <w:rPr>
                <w:rFonts w:ascii="Arial" w:hAnsi="Arial" w:cs="Arial"/>
                <w:sz w:val="18"/>
                <w:szCs w:val="18"/>
              </w:rPr>
              <w:t>414 Federal St.</w:t>
            </w:r>
          </w:p>
          <w:p w14:paraId="29915CF5" w14:textId="77777777" w:rsidR="00F90E0A" w:rsidRDefault="00F90E0A" w:rsidP="00F90E0A">
            <w:pPr>
              <w:pStyle w:val="TableParagraph"/>
              <w:ind w:left="0"/>
              <w:rPr>
                <w:rFonts w:ascii="Arial" w:hAnsi="Arial" w:cs="Arial"/>
                <w:sz w:val="18"/>
                <w:szCs w:val="18"/>
              </w:rPr>
            </w:pPr>
            <w:r>
              <w:rPr>
                <w:rFonts w:ascii="Arial" w:hAnsi="Arial" w:cs="Arial"/>
                <w:sz w:val="18"/>
                <w:szCs w:val="18"/>
              </w:rPr>
              <w:t>Dover, DE 19901</w:t>
            </w:r>
          </w:p>
        </w:tc>
        <w:tc>
          <w:tcPr>
            <w:tcW w:w="1575" w:type="dxa"/>
            <w:shd w:val="clear" w:color="auto" w:fill="auto"/>
            <w:vAlign w:val="center"/>
          </w:tcPr>
          <w:p w14:paraId="48A7F427" w14:textId="77777777" w:rsidR="00F90E0A" w:rsidRPr="00616F0B" w:rsidRDefault="00F90E0A" w:rsidP="00CE32A7">
            <w:pPr>
              <w:pStyle w:val="TableParagraph"/>
              <w:ind w:left="0"/>
              <w:rPr>
                <w:rFonts w:ascii="Arial" w:hAnsi="Arial" w:cs="Arial"/>
                <w:sz w:val="18"/>
                <w:szCs w:val="18"/>
              </w:rPr>
            </w:pPr>
          </w:p>
        </w:tc>
      </w:tr>
      <w:tr w:rsidR="00CE32A7" w:rsidRPr="00341151" w14:paraId="7BC7779F" w14:textId="77777777" w:rsidTr="00CE32A7">
        <w:trPr>
          <w:trHeight w:val="435"/>
        </w:trPr>
        <w:tc>
          <w:tcPr>
            <w:tcW w:w="4005" w:type="dxa"/>
            <w:shd w:val="clear" w:color="auto" w:fill="FFFFFF"/>
            <w:vAlign w:val="center"/>
          </w:tcPr>
          <w:p w14:paraId="4CA58F26" w14:textId="77777777" w:rsidR="00CE32A7" w:rsidRDefault="00CE32A7" w:rsidP="00CE32A7">
            <w:pPr>
              <w:pStyle w:val="TableParagraph"/>
              <w:ind w:left="0"/>
              <w:rPr>
                <w:rFonts w:ascii="Arial" w:hAnsi="Arial" w:cs="Arial"/>
                <w:sz w:val="18"/>
                <w:szCs w:val="18"/>
              </w:rPr>
            </w:pPr>
            <w:r>
              <w:rPr>
                <w:rFonts w:ascii="Arial" w:hAnsi="Arial" w:cs="Arial"/>
                <w:sz w:val="18"/>
                <w:szCs w:val="18"/>
              </w:rPr>
              <w:t xml:space="preserve">Court of Chancery </w:t>
            </w:r>
            <w:r w:rsidR="00F90E0A">
              <w:rPr>
                <w:rFonts w:ascii="Arial" w:hAnsi="Arial" w:cs="Arial"/>
                <w:sz w:val="18"/>
                <w:szCs w:val="18"/>
              </w:rPr>
              <w:t xml:space="preserve">– Sussex </w:t>
            </w:r>
          </w:p>
          <w:p w14:paraId="06719460"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34 The Circle</w:t>
            </w:r>
          </w:p>
          <w:p w14:paraId="4E55EC1C"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Georgetown, DE 19947</w:t>
            </w:r>
          </w:p>
        </w:tc>
        <w:tc>
          <w:tcPr>
            <w:tcW w:w="1575" w:type="dxa"/>
            <w:shd w:val="clear" w:color="auto" w:fill="auto"/>
            <w:vAlign w:val="center"/>
          </w:tcPr>
          <w:p w14:paraId="514FC1B7" w14:textId="77777777" w:rsidR="00CE32A7" w:rsidRPr="00616F0B" w:rsidRDefault="00CE32A7" w:rsidP="00CE32A7">
            <w:pPr>
              <w:pStyle w:val="TableParagraph"/>
              <w:ind w:left="0"/>
              <w:rPr>
                <w:rFonts w:ascii="Arial" w:hAnsi="Arial" w:cs="Arial"/>
                <w:sz w:val="18"/>
                <w:szCs w:val="18"/>
              </w:rPr>
            </w:pPr>
          </w:p>
        </w:tc>
      </w:tr>
      <w:tr w:rsidR="00CE32A7" w:rsidRPr="00341151" w14:paraId="06309C7C" w14:textId="77777777" w:rsidTr="00CE32A7">
        <w:trPr>
          <w:trHeight w:val="435"/>
        </w:trPr>
        <w:tc>
          <w:tcPr>
            <w:tcW w:w="4005" w:type="dxa"/>
            <w:shd w:val="clear" w:color="auto" w:fill="FFFFFF"/>
            <w:vAlign w:val="center"/>
          </w:tcPr>
          <w:p w14:paraId="2E450F6A" w14:textId="77777777" w:rsidR="00CE32A7" w:rsidRDefault="00CE32A7" w:rsidP="00CE32A7">
            <w:pPr>
              <w:pStyle w:val="TableParagraph"/>
              <w:ind w:left="0"/>
              <w:rPr>
                <w:rFonts w:ascii="Arial" w:hAnsi="Arial" w:cs="Arial"/>
                <w:sz w:val="18"/>
                <w:szCs w:val="18"/>
              </w:rPr>
            </w:pPr>
            <w:r>
              <w:rPr>
                <w:rFonts w:ascii="Arial" w:hAnsi="Arial" w:cs="Arial"/>
                <w:sz w:val="18"/>
                <w:szCs w:val="18"/>
              </w:rPr>
              <w:t>Court of Common Pleas</w:t>
            </w:r>
            <w:r w:rsidR="00653515">
              <w:rPr>
                <w:rFonts w:ascii="Arial" w:hAnsi="Arial" w:cs="Arial"/>
                <w:sz w:val="18"/>
                <w:szCs w:val="18"/>
              </w:rPr>
              <w:t xml:space="preserve"> – New Castle</w:t>
            </w:r>
          </w:p>
          <w:p w14:paraId="2A6D2AB4" w14:textId="77777777" w:rsidR="00653515" w:rsidRDefault="00653515" w:rsidP="00CE32A7">
            <w:pPr>
              <w:pStyle w:val="TableParagraph"/>
              <w:ind w:left="0"/>
              <w:rPr>
                <w:rFonts w:ascii="Arial" w:hAnsi="Arial" w:cs="Arial"/>
                <w:sz w:val="18"/>
                <w:szCs w:val="18"/>
              </w:rPr>
            </w:pPr>
            <w:r>
              <w:rPr>
                <w:rFonts w:ascii="Arial" w:hAnsi="Arial" w:cs="Arial"/>
                <w:sz w:val="18"/>
                <w:szCs w:val="18"/>
              </w:rPr>
              <w:t>Leonard L. Williams Justice Center</w:t>
            </w:r>
          </w:p>
          <w:p w14:paraId="390C0306" w14:textId="77777777" w:rsidR="00653515" w:rsidRDefault="00653515" w:rsidP="00CE32A7">
            <w:pPr>
              <w:pStyle w:val="TableParagraph"/>
              <w:ind w:left="0"/>
              <w:rPr>
                <w:rFonts w:ascii="Arial" w:hAnsi="Arial" w:cs="Arial"/>
                <w:sz w:val="18"/>
                <w:szCs w:val="18"/>
              </w:rPr>
            </w:pPr>
            <w:r w:rsidRPr="00CC34E6">
              <w:rPr>
                <w:rFonts w:ascii="Arial" w:hAnsi="Arial" w:cs="Arial"/>
                <w:sz w:val="18"/>
                <w:szCs w:val="18"/>
              </w:rPr>
              <w:t xml:space="preserve">500 </w:t>
            </w:r>
            <w:r w:rsidRPr="00173218">
              <w:rPr>
                <w:rFonts w:ascii="Arial" w:hAnsi="Arial" w:cs="Arial"/>
                <w:sz w:val="18"/>
                <w:szCs w:val="18"/>
              </w:rPr>
              <w:t>N</w:t>
            </w:r>
            <w:r>
              <w:rPr>
                <w:rFonts w:ascii="Arial" w:hAnsi="Arial" w:cs="Arial"/>
                <w:sz w:val="18"/>
                <w:szCs w:val="18"/>
              </w:rPr>
              <w:t>. King St.</w:t>
            </w:r>
          </w:p>
          <w:p w14:paraId="1CDCC989" w14:textId="77777777" w:rsidR="00653515" w:rsidRPr="00D92A65" w:rsidRDefault="00653515" w:rsidP="00CE32A7">
            <w:pPr>
              <w:pStyle w:val="TableParagraph"/>
              <w:ind w:left="0"/>
              <w:rPr>
                <w:rFonts w:ascii="Arial" w:hAnsi="Arial" w:cs="Arial"/>
                <w:sz w:val="18"/>
                <w:szCs w:val="18"/>
              </w:rPr>
            </w:pPr>
            <w:r>
              <w:rPr>
                <w:rFonts w:ascii="Arial" w:hAnsi="Arial" w:cs="Arial"/>
                <w:sz w:val="18"/>
                <w:szCs w:val="18"/>
              </w:rPr>
              <w:t>Wilmington, DE 19801</w:t>
            </w:r>
          </w:p>
        </w:tc>
        <w:tc>
          <w:tcPr>
            <w:tcW w:w="1575" w:type="dxa"/>
            <w:shd w:val="clear" w:color="auto" w:fill="auto"/>
            <w:vAlign w:val="center"/>
          </w:tcPr>
          <w:p w14:paraId="5D2C43C4" w14:textId="77777777" w:rsidR="00CE32A7" w:rsidRPr="00616F0B" w:rsidRDefault="00CE32A7" w:rsidP="00CE32A7">
            <w:pPr>
              <w:pStyle w:val="TableParagraph"/>
              <w:ind w:left="0"/>
              <w:rPr>
                <w:rFonts w:ascii="Arial" w:hAnsi="Arial" w:cs="Arial"/>
                <w:sz w:val="18"/>
                <w:szCs w:val="18"/>
              </w:rPr>
            </w:pPr>
          </w:p>
        </w:tc>
      </w:tr>
      <w:tr w:rsidR="00653515" w:rsidRPr="00341151" w14:paraId="24C5A2F6" w14:textId="77777777" w:rsidTr="00CE32A7">
        <w:trPr>
          <w:trHeight w:val="435"/>
        </w:trPr>
        <w:tc>
          <w:tcPr>
            <w:tcW w:w="4005" w:type="dxa"/>
            <w:shd w:val="clear" w:color="auto" w:fill="FFFFFF"/>
            <w:vAlign w:val="center"/>
          </w:tcPr>
          <w:p w14:paraId="11EFF234" w14:textId="77777777" w:rsidR="00653515" w:rsidRDefault="00653515" w:rsidP="00CE32A7">
            <w:pPr>
              <w:pStyle w:val="TableParagraph"/>
              <w:ind w:left="0"/>
              <w:rPr>
                <w:rFonts w:ascii="Arial" w:hAnsi="Arial" w:cs="Arial"/>
                <w:sz w:val="18"/>
                <w:szCs w:val="18"/>
              </w:rPr>
            </w:pPr>
            <w:r>
              <w:rPr>
                <w:rFonts w:ascii="Arial" w:hAnsi="Arial" w:cs="Arial"/>
                <w:sz w:val="18"/>
                <w:szCs w:val="18"/>
              </w:rPr>
              <w:t>Court of Common Pleas – Kent</w:t>
            </w:r>
          </w:p>
          <w:p w14:paraId="3D2B6E5C" w14:textId="77777777" w:rsidR="00653515" w:rsidRDefault="00653515" w:rsidP="00CE32A7">
            <w:pPr>
              <w:pStyle w:val="TableParagraph"/>
              <w:ind w:left="0"/>
              <w:rPr>
                <w:rFonts w:ascii="Arial" w:hAnsi="Arial" w:cs="Arial"/>
                <w:sz w:val="18"/>
                <w:szCs w:val="18"/>
              </w:rPr>
            </w:pPr>
            <w:r>
              <w:rPr>
                <w:rFonts w:ascii="Arial" w:hAnsi="Arial" w:cs="Arial"/>
                <w:sz w:val="18"/>
                <w:szCs w:val="18"/>
              </w:rPr>
              <w:t>Kent County Courthouse</w:t>
            </w:r>
          </w:p>
          <w:p w14:paraId="4635A579" w14:textId="77777777" w:rsidR="00653515" w:rsidRDefault="00653515" w:rsidP="00CE32A7">
            <w:pPr>
              <w:pStyle w:val="TableParagraph"/>
              <w:ind w:left="0"/>
              <w:rPr>
                <w:rFonts w:ascii="Arial" w:hAnsi="Arial" w:cs="Arial"/>
                <w:sz w:val="18"/>
                <w:szCs w:val="18"/>
              </w:rPr>
            </w:pPr>
            <w:r>
              <w:rPr>
                <w:rFonts w:ascii="Arial" w:hAnsi="Arial" w:cs="Arial"/>
                <w:sz w:val="18"/>
                <w:szCs w:val="18"/>
              </w:rPr>
              <w:t>414 Federal St.</w:t>
            </w:r>
          </w:p>
          <w:p w14:paraId="1319FBEF" w14:textId="77777777" w:rsidR="00653515" w:rsidRDefault="00653515" w:rsidP="00CE32A7">
            <w:pPr>
              <w:pStyle w:val="TableParagraph"/>
              <w:ind w:left="0"/>
              <w:rPr>
                <w:rFonts w:ascii="Arial" w:hAnsi="Arial" w:cs="Arial"/>
                <w:sz w:val="18"/>
                <w:szCs w:val="18"/>
              </w:rPr>
            </w:pPr>
            <w:r>
              <w:rPr>
                <w:rFonts w:ascii="Arial" w:hAnsi="Arial" w:cs="Arial"/>
                <w:sz w:val="18"/>
                <w:szCs w:val="18"/>
              </w:rPr>
              <w:t>Dover, DE 19901</w:t>
            </w:r>
          </w:p>
        </w:tc>
        <w:tc>
          <w:tcPr>
            <w:tcW w:w="1575" w:type="dxa"/>
            <w:shd w:val="clear" w:color="auto" w:fill="auto"/>
            <w:vAlign w:val="center"/>
          </w:tcPr>
          <w:p w14:paraId="66E2C5A8" w14:textId="77777777" w:rsidR="00653515" w:rsidRPr="00616F0B" w:rsidRDefault="00653515" w:rsidP="00CE32A7">
            <w:pPr>
              <w:pStyle w:val="TableParagraph"/>
              <w:ind w:left="0"/>
              <w:rPr>
                <w:rFonts w:ascii="Arial" w:hAnsi="Arial" w:cs="Arial"/>
                <w:sz w:val="18"/>
                <w:szCs w:val="18"/>
              </w:rPr>
            </w:pPr>
          </w:p>
        </w:tc>
      </w:tr>
      <w:tr w:rsidR="00653515" w:rsidRPr="00341151" w14:paraId="131BAFD7" w14:textId="77777777" w:rsidTr="00CE32A7">
        <w:trPr>
          <w:trHeight w:val="435"/>
        </w:trPr>
        <w:tc>
          <w:tcPr>
            <w:tcW w:w="4005" w:type="dxa"/>
            <w:shd w:val="clear" w:color="auto" w:fill="FFFFFF"/>
            <w:vAlign w:val="center"/>
          </w:tcPr>
          <w:p w14:paraId="4D09848B" w14:textId="77777777" w:rsidR="00653515" w:rsidRDefault="00653515" w:rsidP="00CE32A7">
            <w:pPr>
              <w:pStyle w:val="TableParagraph"/>
              <w:ind w:left="0"/>
              <w:rPr>
                <w:rFonts w:ascii="Arial" w:hAnsi="Arial" w:cs="Arial"/>
                <w:sz w:val="18"/>
                <w:szCs w:val="18"/>
              </w:rPr>
            </w:pPr>
            <w:r>
              <w:rPr>
                <w:rFonts w:ascii="Arial" w:hAnsi="Arial" w:cs="Arial"/>
                <w:sz w:val="18"/>
                <w:szCs w:val="18"/>
              </w:rPr>
              <w:t>Court of Common Pleas – Sussex</w:t>
            </w:r>
          </w:p>
          <w:p w14:paraId="012EA5C9" w14:textId="77777777" w:rsidR="00653515" w:rsidRDefault="00653515" w:rsidP="00CE32A7">
            <w:pPr>
              <w:pStyle w:val="TableParagraph"/>
              <w:ind w:left="0"/>
              <w:rPr>
                <w:rFonts w:ascii="Arial" w:hAnsi="Arial" w:cs="Arial"/>
                <w:sz w:val="18"/>
                <w:szCs w:val="18"/>
              </w:rPr>
            </w:pPr>
            <w:r>
              <w:rPr>
                <w:rFonts w:ascii="Arial" w:hAnsi="Arial" w:cs="Arial"/>
                <w:sz w:val="18"/>
                <w:szCs w:val="18"/>
              </w:rPr>
              <w:t>Sussex County Courthouse</w:t>
            </w:r>
          </w:p>
          <w:p w14:paraId="759AC8F6" w14:textId="77777777" w:rsidR="00653515" w:rsidRDefault="00653515" w:rsidP="00CE32A7">
            <w:pPr>
              <w:pStyle w:val="TableParagraph"/>
              <w:ind w:left="0"/>
              <w:rPr>
                <w:rFonts w:ascii="Arial" w:hAnsi="Arial" w:cs="Arial"/>
                <w:sz w:val="18"/>
                <w:szCs w:val="18"/>
              </w:rPr>
            </w:pPr>
            <w:r>
              <w:rPr>
                <w:rFonts w:ascii="Arial" w:hAnsi="Arial" w:cs="Arial"/>
                <w:sz w:val="18"/>
                <w:szCs w:val="18"/>
              </w:rPr>
              <w:t>1 The Circle, Suite 1</w:t>
            </w:r>
          </w:p>
          <w:p w14:paraId="4E1C875E" w14:textId="77777777" w:rsidR="00653515" w:rsidRDefault="00653515" w:rsidP="00CE32A7">
            <w:pPr>
              <w:pStyle w:val="TableParagraph"/>
              <w:ind w:left="0"/>
              <w:rPr>
                <w:rFonts w:ascii="Arial" w:hAnsi="Arial" w:cs="Arial"/>
                <w:sz w:val="18"/>
                <w:szCs w:val="18"/>
              </w:rPr>
            </w:pPr>
            <w:r>
              <w:rPr>
                <w:rFonts w:ascii="Arial" w:hAnsi="Arial" w:cs="Arial"/>
                <w:sz w:val="18"/>
                <w:szCs w:val="18"/>
              </w:rPr>
              <w:t xml:space="preserve">Georgetown, DE 19947 </w:t>
            </w:r>
          </w:p>
        </w:tc>
        <w:tc>
          <w:tcPr>
            <w:tcW w:w="1575" w:type="dxa"/>
            <w:shd w:val="clear" w:color="auto" w:fill="auto"/>
            <w:vAlign w:val="center"/>
          </w:tcPr>
          <w:p w14:paraId="37820C39" w14:textId="77777777" w:rsidR="00653515" w:rsidRPr="00616F0B" w:rsidRDefault="00653515" w:rsidP="00CE32A7">
            <w:pPr>
              <w:pStyle w:val="TableParagraph"/>
              <w:ind w:left="0"/>
              <w:rPr>
                <w:rFonts w:ascii="Arial" w:hAnsi="Arial" w:cs="Arial"/>
                <w:sz w:val="18"/>
                <w:szCs w:val="18"/>
              </w:rPr>
            </w:pPr>
          </w:p>
        </w:tc>
      </w:tr>
      <w:tr w:rsidR="00CE32A7" w:rsidRPr="00341151" w14:paraId="4987BE7A" w14:textId="77777777" w:rsidTr="00CE32A7">
        <w:trPr>
          <w:trHeight w:val="435"/>
        </w:trPr>
        <w:tc>
          <w:tcPr>
            <w:tcW w:w="4005" w:type="dxa"/>
            <w:shd w:val="clear" w:color="auto" w:fill="FFFFFF"/>
            <w:vAlign w:val="center"/>
          </w:tcPr>
          <w:p w14:paraId="2835895F" w14:textId="77777777" w:rsidR="00CE32A7" w:rsidRDefault="00CE32A7" w:rsidP="00CE32A7">
            <w:pPr>
              <w:pStyle w:val="TableParagraph"/>
              <w:ind w:left="0"/>
              <w:rPr>
                <w:rFonts w:ascii="Arial" w:hAnsi="Arial" w:cs="Arial"/>
                <w:sz w:val="18"/>
                <w:szCs w:val="18"/>
              </w:rPr>
            </w:pPr>
            <w:r>
              <w:rPr>
                <w:rFonts w:ascii="Arial" w:hAnsi="Arial" w:cs="Arial"/>
                <w:sz w:val="18"/>
                <w:szCs w:val="18"/>
              </w:rPr>
              <w:t>Criminal Justice Council</w:t>
            </w:r>
          </w:p>
          <w:p w14:paraId="28E3D92E"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Carvel State Office Bldg., 820 N.</w:t>
            </w:r>
            <w:r>
              <w:rPr>
                <w:rFonts w:ascii="Arial" w:hAnsi="Arial" w:cs="Arial"/>
                <w:sz w:val="18"/>
                <w:szCs w:val="18"/>
              </w:rPr>
              <w:t xml:space="preserve"> </w:t>
            </w:r>
            <w:r w:rsidRPr="003B5D78">
              <w:rPr>
                <w:rFonts w:ascii="Arial" w:hAnsi="Arial" w:cs="Arial"/>
                <w:sz w:val="18"/>
                <w:szCs w:val="18"/>
              </w:rPr>
              <w:t>French Street, 10th Floor</w:t>
            </w:r>
          </w:p>
          <w:p w14:paraId="480F811E"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Wilmington, DE 19801</w:t>
            </w:r>
          </w:p>
        </w:tc>
        <w:tc>
          <w:tcPr>
            <w:tcW w:w="1575" w:type="dxa"/>
            <w:shd w:val="clear" w:color="auto" w:fill="auto"/>
            <w:vAlign w:val="center"/>
          </w:tcPr>
          <w:p w14:paraId="15D939B6" w14:textId="77777777" w:rsidR="00CE32A7" w:rsidRPr="00616F0B" w:rsidRDefault="00CE32A7" w:rsidP="00CE32A7">
            <w:pPr>
              <w:pStyle w:val="TableParagraph"/>
              <w:ind w:left="0"/>
              <w:rPr>
                <w:rFonts w:ascii="Arial" w:hAnsi="Arial" w:cs="Arial"/>
                <w:sz w:val="18"/>
                <w:szCs w:val="18"/>
              </w:rPr>
            </w:pPr>
          </w:p>
        </w:tc>
      </w:tr>
      <w:tr w:rsidR="00CE32A7" w:rsidRPr="00341151" w14:paraId="3A7609C8" w14:textId="77777777" w:rsidTr="00CE32A7">
        <w:trPr>
          <w:trHeight w:val="435"/>
        </w:trPr>
        <w:tc>
          <w:tcPr>
            <w:tcW w:w="4005" w:type="dxa"/>
            <w:shd w:val="clear" w:color="auto" w:fill="FFFFFF"/>
            <w:vAlign w:val="center"/>
          </w:tcPr>
          <w:p w14:paraId="77A33378" w14:textId="77777777" w:rsidR="00CE32A7" w:rsidRDefault="00CE32A7" w:rsidP="00CE32A7">
            <w:pPr>
              <w:pStyle w:val="TableParagraph"/>
              <w:ind w:left="0"/>
              <w:rPr>
                <w:rFonts w:ascii="Arial" w:hAnsi="Arial" w:cs="Arial"/>
                <w:sz w:val="18"/>
                <w:szCs w:val="18"/>
              </w:rPr>
            </w:pPr>
            <w:r>
              <w:rPr>
                <w:rFonts w:ascii="Arial" w:hAnsi="Arial" w:cs="Arial"/>
                <w:sz w:val="18"/>
                <w:szCs w:val="18"/>
              </w:rPr>
              <w:t>Delaware National Guard</w:t>
            </w:r>
          </w:p>
          <w:p w14:paraId="4AFA8B0A" w14:textId="77777777" w:rsidR="00361D5A" w:rsidRDefault="00361D5A" w:rsidP="00CE32A7">
            <w:pPr>
              <w:pStyle w:val="TableParagraph"/>
              <w:ind w:left="0"/>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Vavala</w:t>
            </w:r>
            <w:proofErr w:type="spellEnd"/>
            <w:r>
              <w:rPr>
                <w:rFonts w:ascii="Arial" w:hAnsi="Arial" w:cs="Arial"/>
                <w:sz w:val="18"/>
                <w:szCs w:val="18"/>
              </w:rPr>
              <w:t xml:space="preserve"> Way</w:t>
            </w:r>
          </w:p>
          <w:p w14:paraId="08B4CFA2" w14:textId="77777777" w:rsidR="00CE32A7" w:rsidRPr="00D92A65" w:rsidRDefault="00361D5A" w:rsidP="00CE32A7">
            <w:pPr>
              <w:pStyle w:val="TableParagraph"/>
              <w:ind w:left="0"/>
              <w:rPr>
                <w:rFonts w:ascii="Arial" w:hAnsi="Arial" w:cs="Arial"/>
                <w:sz w:val="18"/>
                <w:szCs w:val="18"/>
              </w:rPr>
            </w:pPr>
            <w:r w:rsidRPr="00361D5A">
              <w:rPr>
                <w:rFonts w:ascii="Arial" w:hAnsi="Arial" w:cs="Arial"/>
                <w:sz w:val="18"/>
                <w:szCs w:val="18"/>
              </w:rPr>
              <w:t>New Castle, DE 19720</w:t>
            </w:r>
          </w:p>
        </w:tc>
        <w:tc>
          <w:tcPr>
            <w:tcW w:w="1575" w:type="dxa"/>
            <w:shd w:val="clear" w:color="auto" w:fill="auto"/>
            <w:vAlign w:val="center"/>
          </w:tcPr>
          <w:p w14:paraId="1B8E3AE4" w14:textId="77777777" w:rsidR="00CE32A7" w:rsidRPr="00616F0B" w:rsidRDefault="00CE32A7" w:rsidP="00CE32A7">
            <w:pPr>
              <w:pStyle w:val="TableParagraph"/>
              <w:ind w:left="0"/>
              <w:rPr>
                <w:rFonts w:ascii="Arial" w:hAnsi="Arial" w:cs="Arial"/>
                <w:sz w:val="18"/>
                <w:szCs w:val="18"/>
              </w:rPr>
            </w:pPr>
          </w:p>
        </w:tc>
      </w:tr>
      <w:tr w:rsidR="00CE32A7" w:rsidRPr="00341151" w14:paraId="63D99167" w14:textId="77777777" w:rsidTr="00CE32A7">
        <w:trPr>
          <w:trHeight w:val="435"/>
        </w:trPr>
        <w:tc>
          <w:tcPr>
            <w:tcW w:w="4005" w:type="dxa"/>
            <w:shd w:val="clear" w:color="auto" w:fill="FFFFFF"/>
            <w:vAlign w:val="center"/>
          </w:tcPr>
          <w:p w14:paraId="5D620609" w14:textId="77777777" w:rsidR="00CE32A7" w:rsidRDefault="00CE32A7" w:rsidP="00CE32A7">
            <w:pPr>
              <w:pStyle w:val="TableParagraph"/>
              <w:ind w:left="0"/>
              <w:rPr>
                <w:rFonts w:ascii="Arial" w:hAnsi="Arial" w:cs="Arial"/>
                <w:sz w:val="18"/>
                <w:szCs w:val="18"/>
              </w:rPr>
            </w:pPr>
            <w:r>
              <w:rPr>
                <w:rFonts w:ascii="Arial" w:hAnsi="Arial" w:cs="Arial"/>
                <w:sz w:val="18"/>
                <w:szCs w:val="18"/>
              </w:rPr>
              <w:t xml:space="preserve">Developmental Disabilities Services – </w:t>
            </w:r>
            <w:proofErr w:type="spellStart"/>
            <w:r>
              <w:rPr>
                <w:rFonts w:ascii="Arial" w:hAnsi="Arial" w:cs="Arial"/>
                <w:sz w:val="18"/>
                <w:szCs w:val="18"/>
              </w:rPr>
              <w:t>Stockley</w:t>
            </w:r>
            <w:proofErr w:type="spellEnd"/>
            <w:r>
              <w:rPr>
                <w:rFonts w:ascii="Arial" w:hAnsi="Arial" w:cs="Arial"/>
                <w:sz w:val="18"/>
                <w:szCs w:val="18"/>
              </w:rPr>
              <w:t xml:space="preserve"> Center</w:t>
            </w:r>
          </w:p>
          <w:p w14:paraId="148E72F2"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101 Boyd Boulevard, 26351 Patriots Way</w:t>
            </w:r>
          </w:p>
          <w:p w14:paraId="37DC6211"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Georgetown, DE 19947</w:t>
            </w:r>
          </w:p>
        </w:tc>
        <w:tc>
          <w:tcPr>
            <w:tcW w:w="1575" w:type="dxa"/>
            <w:shd w:val="clear" w:color="auto" w:fill="auto"/>
            <w:vAlign w:val="center"/>
          </w:tcPr>
          <w:p w14:paraId="1CAAE9D7" w14:textId="77777777" w:rsidR="00CE32A7" w:rsidRPr="00616F0B" w:rsidRDefault="00CE32A7" w:rsidP="00CE32A7">
            <w:pPr>
              <w:pStyle w:val="TableParagraph"/>
              <w:ind w:left="0"/>
              <w:rPr>
                <w:rFonts w:ascii="Arial" w:hAnsi="Arial" w:cs="Arial"/>
                <w:sz w:val="18"/>
                <w:szCs w:val="18"/>
              </w:rPr>
            </w:pPr>
          </w:p>
        </w:tc>
      </w:tr>
      <w:tr w:rsidR="00CE32A7" w:rsidRPr="00341151" w14:paraId="54D8787F" w14:textId="77777777" w:rsidTr="00CE32A7">
        <w:trPr>
          <w:trHeight w:val="435"/>
        </w:trPr>
        <w:tc>
          <w:tcPr>
            <w:tcW w:w="4005" w:type="dxa"/>
            <w:shd w:val="clear" w:color="auto" w:fill="FFFFFF"/>
            <w:vAlign w:val="center"/>
          </w:tcPr>
          <w:p w14:paraId="2CAC1461" w14:textId="77777777" w:rsidR="00CE32A7" w:rsidRDefault="00CE32A7" w:rsidP="00CE32A7">
            <w:pPr>
              <w:pStyle w:val="TableParagraph"/>
              <w:ind w:left="0"/>
              <w:rPr>
                <w:rFonts w:ascii="Arial" w:hAnsi="Arial" w:cs="Arial"/>
                <w:sz w:val="18"/>
                <w:szCs w:val="18"/>
              </w:rPr>
            </w:pPr>
            <w:r>
              <w:rPr>
                <w:rFonts w:ascii="Arial" w:hAnsi="Arial" w:cs="Arial"/>
                <w:sz w:val="18"/>
                <w:szCs w:val="18"/>
              </w:rPr>
              <w:t>Family Court</w:t>
            </w:r>
            <w:r w:rsidR="00E75537">
              <w:rPr>
                <w:rFonts w:ascii="Arial" w:hAnsi="Arial" w:cs="Arial"/>
                <w:sz w:val="18"/>
                <w:szCs w:val="18"/>
              </w:rPr>
              <w:t xml:space="preserve"> – New Castle</w:t>
            </w:r>
          </w:p>
          <w:p w14:paraId="60969FA8" w14:textId="77777777" w:rsidR="00E75537" w:rsidRDefault="00CE32A7" w:rsidP="00CE32A7">
            <w:pPr>
              <w:pStyle w:val="TableParagraph"/>
              <w:ind w:left="0"/>
              <w:rPr>
                <w:rFonts w:ascii="Arial" w:hAnsi="Arial" w:cs="Arial"/>
                <w:sz w:val="18"/>
                <w:szCs w:val="18"/>
              </w:rPr>
            </w:pPr>
            <w:r w:rsidRPr="003B5D78">
              <w:rPr>
                <w:rFonts w:ascii="Arial" w:hAnsi="Arial" w:cs="Arial"/>
                <w:sz w:val="18"/>
                <w:szCs w:val="18"/>
              </w:rPr>
              <w:t>Leonard L. Williams Justice Center</w:t>
            </w:r>
          </w:p>
          <w:p w14:paraId="0D77E8BE"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500 N</w:t>
            </w:r>
            <w:r w:rsidR="00E75537">
              <w:rPr>
                <w:rFonts w:ascii="Arial" w:hAnsi="Arial" w:cs="Arial"/>
                <w:sz w:val="18"/>
                <w:szCs w:val="18"/>
              </w:rPr>
              <w:t>. K</w:t>
            </w:r>
            <w:r w:rsidRPr="003B5D78">
              <w:rPr>
                <w:rFonts w:ascii="Arial" w:hAnsi="Arial" w:cs="Arial"/>
                <w:sz w:val="18"/>
                <w:szCs w:val="18"/>
              </w:rPr>
              <w:t>ing Street</w:t>
            </w:r>
          </w:p>
          <w:p w14:paraId="4C288C67"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Wilmington, DE 19801</w:t>
            </w:r>
          </w:p>
        </w:tc>
        <w:tc>
          <w:tcPr>
            <w:tcW w:w="1575" w:type="dxa"/>
            <w:shd w:val="clear" w:color="auto" w:fill="auto"/>
            <w:vAlign w:val="center"/>
          </w:tcPr>
          <w:p w14:paraId="4A9F1AEB" w14:textId="77777777" w:rsidR="00CE32A7" w:rsidRPr="00616F0B" w:rsidRDefault="00CE32A7" w:rsidP="00CE32A7">
            <w:pPr>
              <w:pStyle w:val="TableParagraph"/>
              <w:ind w:left="0"/>
              <w:rPr>
                <w:rFonts w:ascii="Arial" w:hAnsi="Arial" w:cs="Arial"/>
                <w:sz w:val="18"/>
                <w:szCs w:val="18"/>
              </w:rPr>
            </w:pPr>
          </w:p>
        </w:tc>
      </w:tr>
      <w:tr w:rsidR="00E75537" w:rsidRPr="00341151" w14:paraId="5DBDB660" w14:textId="77777777" w:rsidTr="00CE32A7">
        <w:trPr>
          <w:trHeight w:val="435"/>
        </w:trPr>
        <w:tc>
          <w:tcPr>
            <w:tcW w:w="4005" w:type="dxa"/>
            <w:shd w:val="clear" w:color="auto" w:fill="FFFFFF"/>
            <w:vAlign w:val="center"/>
          </w:tcPr>
          <w:p w14:paraId="0F9372C9" w14:textId="77777777" w:rsidR="00E75537" w:rsidRDefault="00E75537" w:rsidP="00CE32A7">
            <w:pPr>
              <w:pStyle w:val="TableParagraph"/>
              <w:ind w:left="0"/>
              <w:rPr>
                <w:rFonts w:ascii="Arial" w:hAnsi="Arial" w:cs="Arial"/>
                <w:sz w:val="18"/>
                <w:szCs w:val="18"/>
              </w:rPr>
            </w:pPr>
            <w:r>
              <w:rPr>
                <w:rFonts w:ascii="Arial" w:hAnsi="Arial" w:cs="Arial"/>
                <w:sz w:val="18"/>
                <w:szCs w:val="18"/>
              </w:rPr>
              <w:t>Family Court – Kent</w:t>
            </w:r>
          </w:p>
          <w:p w14:paraId="26A749E9" w14:textId="77777777" w:rsidR="00E75537" w:rsidRDefault="00E75537" w:rsidP="00CE32A7">
            <w:pPr>
              <w:pStyle w:val="TableParagraph"/>
              <w:ind w:left="0"/>
              <w:rPr>
                <w:rFonts w:ascii="Arial" w:hAnsi="Arial" w:cs="Arial"/>
                <w:sz w:val="18"/>
                <w:szCs w:val="18"/>
              </w:rPr>
            </w:pPr>
            <w:r>
              <w:rPr>
                <w:rFonts w:ascii="Arial" w:hAnsi="Arial" w:cs="Arial"/>
                <w:sz w:val="18"/>
                <w:szCs w:val="18"/>
              </w:rPr>
              <w:t>400 Court St.</w:t>
            </w:r>
          </w:p>
          <w:p w14:paraId="7ACB2EA8" w14:textId="77777777" w:rsidR="00E75537" w:rsidRDefault="00E75537" w:rsidP="00CE32A7">
            <w:pPr>
              <w:pStyle w:val="TableParagraph"/>
              <w:ind w:left="0"/>
              <w:rPr>
                <w:rFonts w:ascii="Arial" w:hAnsi="Arial" w:cs="Arial"/>
                <w:sz w:val="18"/>
                <w:szCs w:val="18"/>
              </w:rPr>
            </w:pPr>
            <w:r>
              <w:rPr>
                <w:rFonts w:ascii="Arial" w:hAnsi="Arial" w:cs="Arial"/>
                <w:sz w:val="18"/>
                <w:szCs w:val="18"/>
              </w:rPr>
              <w:t>Dover, DE 19901</w:t>
            </w:r>
          </w:p>
        </w:tc>
        <w:tc>
          <w:tcPr>
            <w:tcW w:w="1575" w:type="dxa"/>
            <w:shd w:val="clear" w:color="auto" w:fill="auto"/>
            <w:vAlign w:val="center"/>
          </w:tcPr>
          <w:p w14:paraId="5FC9DA04" w14:textId="77777777" w:rsidR="00E75537" w:rsidRPr="00616F0B" w:rsidRDefault="00E75537" w:rsidP="00CE32A7">
            <w:pPr>
              <w:pStyle w:val="TableParagraph"/>
              <w:ind w:left="0"/>
              <w:rPr>
                <w:rFonts w:ascii="Arial" w:hAnsi="Arial" w:cs="Arial"/>
                <w:sz w:val="18"/>
                <w:szCs w:val="18"/>
              </w:rPr>
            </w:pPr>
          </w:p>
        </w:tc>
      </w:tr>
      <w:tr w:rsidR="00E75537" w:rsidRPr="00341151" w14:paraId="4A5EA61B" w14:textId="77777777" w:rsidTr="00CE32A7">
        <w:trPr>
          <w:trHeight w:val="435"/>
        </w:trPr>
        <w:tc>
          <w:tcPr>
            <w:tcW w:w="4005" w:type="dxa"/>
            <w:shd w:val="clear" w:color="auto" w:fill="FFFFFF"/>
            <w:vAlign w:val="center"/>
          </w:tcPr>
          <w:p w14:paraId="520A626E" w14:textId="77777777" w:rsidR="00E75537" w:rsidRDefault="00E75537" w:rsidP="00CE32A7">
            <w:pPr>
              <w:pStyle w:val="TableParagraph"/>
              <w:ind w:left="0"/>
              <w:rPr>
                <w:rFonts w:ascii="Arial" w:hAnsi="Arial" w:cs="Arial"/>
                <w:sz w:val="18"/>
                <w:szCs w:val="18"/>
              </w:rPr>
            </w:pPr>
            <w:r>
              <w:rPr>
                <w:rFonts w:ascii="Arial" w:hAnsi="Arial" w:cs="Arial"/>
                <w:sz w:val="18"/>
                <w:szCs w:val="18"/>
              </w:rPr>
              <w:t>Family Court – Sussex</w:t>
            </w:r>
          </w:p>
          <w:p w14:paraId="736F02D4" w14:textId="77777777" w:rsidR="00E75537" w:rsidRDefault="00E75537" w:rsidP="00CE32A7">
            <w:pPr>
              <w:pStyle w:val="TableParagraph"/>
              <w:ind w:left="0"/>
              <w:rPr>
                <w:rFonts w:ascii="Arial" w:hAnsi="Arial" w:cs="Arial"/>
                <w:sz w:val="18"/>
                <w:szCs w:val="18"/>
              </w:rPr>
            </w:pPr>
            <w:r>
              <w:rPr>
                <w:rFonts w:ascii="Arial" w:hAnsi="Arial" w:cs="Arial"/>
                <w:sz w:val="18"/>
                <w:szCs w:val="18"/>
              </w:rPr>
              <w:t>22 The Circle</w:t>
            </w:r>
          </w:p>
          <w:p w14:paraId="04CC7C4D" w14:textId="77777777" w:rsidR="00E75537" w:rsidRDefault="00E75537" w:rsidP="00CE32A7">
            <w:pPr>
              <w:pStyle w:val="TableParagraph"/>
              <w:ind w:left="0"/>
              <w:rPr>
                <w:rFonts w:ascii="Arial" w:hAnsi="Arial" w:cs="Arial"/>
                <w:sz w:val="18"/>
                <w:szCs w:val="18"/>
              </w:rPr>
            </w:pPr>
            <w:r>
              <w:rPr>
                <w:rFonts w:ascii="Arial" w:hAnsi="Arial" w:cs="Arial"/>
                <w:sz w:val="18"/>
                <w:szCs w:val="18"/>
              </w:rPr>
              <w:t>Georgetown, DE 19947</w:t>
            </w:r>
          </w:p>
        </w:tc>
        <w:tc>
          <w:tcPr>
            <w:tcW w:w="1575" w:type="dxa"/>
            <w:shd w:val="clear" w:color="auto" w:fill="auto"/>
            <w:vAlign w:val="center"/>
          </w:tcPr>
          <w:p w14:paraId="33C93E0F" w14:textId="77777777" w:rsidR="00E75537" w:rsidRPr="00616F0B" w:rsidRDefault="00E75537" w:rsidP="00CE32A7">
            <w:pPr>
              <w:pStyle w:val="TableParagraph"/>
              <w:ind w:left="0"/>
              <w:rPr>
                <w:rFonts w:ascii="Arial" w:hAnsi="Arial" w:cs="Arial"/>
                <w:sz w:val="18"/>
                <w:szCs w:val="18"/>
              </w:rPr>
            </w:pPr>
          </w:p>
        </w:tc>
      </w:tr>
      <w:tr w:rsidR="00CE32A7" w:rsidRPr="00341151" w14:paraId="7E958CFF" w14:textId="77777777" w:rsidTr="00CE32A7">
        <w:trPr>
          <w:trHeight w:val="435"/>
        </w:trPr>
        <w:tc>
          <w:tcPr>
            <w:tcW w:w="4005" w:type="dxa"/>
            <w:shd w:val="clear" w:color="auto" w:fill="FFFFFF"/>
            <w:vAlign w:val="center"/>
          </w:tcPr>
          <w:p w14:paraId="2C173FCA" w14:textId="77777777" w:rsidR="00CE32A7" w:rsidRDefault="00CE32A7" w:rsidP="00CE32A7">
            <w:pPr>
              <w:pStyle w:val="TableParagraph"/>
              <w:ind w:left="0"/>
              <w:rPr>
                <w:rFonts w:ascii="Arial" w:hAnsi="Arial" w:cs="Arial"/>
                <w:sz w:val="18"/>
                <w:szCs w:val="18"/>
              </w:rPr>
            </w:pPr>
            <w:r>
              <w:rPr>
                <w:rFonts w:ascii="Arial" w:hAnsi="Arial" w:cs="Arial"/>
                <w:sz w:val="18"/>
                <w:szCs w:val="18"/>
              </w:rPr>
              <w:t>Family Services – Office of the Director</w:t>
            </w:r>
          </w:p>
          <w:p w14:paraId="12F6E407"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 xml:space="preserve">1825 </w:t>
            </w:r>
            <w:proofErr w:type="spellStart"/>
            <w:r w:rsidRPr="003B5D78">
              <w:rPr>
                <w:rFonts w:ascii="Arial" w:hAnsi="Arial" w:cs="Arial"/>
                <w:sz w:val="18"/>
                <w:szCs w:val="18"/>
              </w:rPr>
              <w:t>Faulkland</w:t>
            </w:r>
            <w:proofErr w:type="spellEnd"/>
            <w:r w:rsidRPr="003B5D78">
              <w:rPr>
                <w:rFonts w:ascii="Arial" w:hAnsi="Arial" w:cs="Arial"/>
                <w:sz w:val="18"/>
                <w:szCs w:val="18"/>
              </w:rPr>
              <w:t xml:space="preserve"> Rd</w:t>
            </w:r>
          </w:p>
          <w:p w14:paraId="2496AA80"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Wilmington, DE 19805-1195</w:t>
            </w:r>
          </w:p>
        </w:tc>
        <w:tc>
          <w:tcPr>
            <w:tcW w:w="1575" w:type="dxa"/>
            <w:shd w:val="clear" w:color="auto" w:fill="auto"/>
            <w:vAlign w:val="center"/>
          </w:tcPr>
          <w:p w14:paraId="4317AEB1" w14:textId="77777777" w:rsidR="00CE32A7" w:rsidRPr="00616F0B" w:rsidRDefault="00CE32A7" w:rsidP="00CE32A7">
            <w:pPr>
              <w:pStyle w:val="TableParagraph"/>
              <w:ind w:left="0"/>
              <w:rPr>
                <w:rFonts w:ascii="Arial" w:hAnsi="Arial" w:cs="Arial"/>
                <w:sz w:val="18"/>
                <w:szCs w:val="18"/>
              </w:rPr>
            </w:pPr>
          </w:p>
        </w:tc>
      </w:tr>
      <w:tr w:rsidR="00CE32A7" w:rsidRPr="00341151" w14:paraId="17D681C0" w14:textId="77777777" w:rsidTr="00CE32A7">
        <w:trPr>
          <w:trHeight w:val="435"/>
        </w:trPr>
        <w:tc>
          <w:tcPr>
            <w:tcW w:w="4005" w:type="dxa"/>
            <w:shd w:val="clear" w:color="auto" w:fill="FFFFFF"/>
            <w:vAlign w:val="center"/>
          </w:tcPr>
          <w:p w14:paraId="4A4F0487" w14:textId="77777777" w:rsidR="00CE32A7" w:rsidRDefault="00CE32A7" w:rsidP="00CE32A7">
            <w:pPr>
              <w:pStyle w:val="TableParagraph"/>
              <w:ind w:left="0"/>
              <w:rPr>
                <w:rFonts w:ascii="Arial" w:hAnsi="Arial" w:cs="Arial"/>
                <w:sz w:val="18"/>
                <w:szCs w:val="18"/>
              </w:rPr>
            </w:pPr>
            <w:r>
              <w:rPr>
                <w:rFonts w:ascii="Arial" w:hAnsi="Arial" w:cs="Arial"/>
                <w:sz w:val="18"/>
                <w:szCs w:val="18"/>
              </w:rPr>
              <w:t>Fish and Wildlife</w:t>
            </w:r>
          </w:p>
          <w:p w14:paraId="546D8C7A"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89 Kings Highway</w:t>
            </w:r>
          </w:p>
          <w:p w14:paraId="09B31192"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Dover, DE 19901</w:t>
            </w:r>
          </w:p>
        </w:tc>
        <w:tc>
          <w:tcPr>
            <w:tcW w:w="1575" w:type="dxa"/>
            <w:shd w:val="clear" w:color="auto" w:fill="auto"/>
            <w:vAlign w:val="center"/>
          </w:tcPr>
          <w:p w14:paraId="35B5BB12" w14:textId="77777777" w:rsidR="00CE32A7" w:rsidRPr="00616F0B" w:rsidRDefault="00CE32A7" w:rsidP="00CE32A7">
            <w:pPr>
              <w:pStyle w:val="TableParagraph"/>
              <w:ind w:left="0"/>
              <w:rPr>
                <w:rFonts w:ascii="Arial" w:hAnsi="Arial" w:cs="Arial"/>
                <w:sz w:val="18"/>
                <w:szCs w:val="18"/>
              </w:rPr>
            </w:pPr>
          </w:p>
        </w:tc>
      </w:tr>
      <w:tr w:rsidR="00CE32A7" w:rsidRPr="00341151" w14:paraId="786C80B8" w14:textId="77777777" w:rsidTr="00CE32A7">
        <w:trPr>
          <w:trHeight w:val="435"/>
        </w:trPr>
        <w:tc>
          <w:tcPr>
            <w:tcW w:w="4005" w:type="dxa"/>
            <w:shd w:val="clear" w:color="auto" w:fill="FFFFFF"/>
            <w:vAlign w:val="center"/>
          </w:tcPr>
          <w:p w14:paraId="1B3C5EEC" w14:textId="77777777" w:rsidR="00CE32A7" w:rsidRDefault="00CE32A7" w:rsidP="00CE32A7">
            <w:pPr>
              <w:pStyle w:val="TableParagraph"/>
              <w:ind w:left="0"/>
              <w:rPr>
                <w:rFonts w:ascii="Arial" w:hAnsi="Arial" w:cs="Arial"/>
                <w:sz w:val="18"/>
                <w:szCs w:val="18"/>
              </w:rPr>
            </w:pPr>
            <w:r>
              <w:rPr>
                <w:rFonts w:ascii="Arial" w:hAnsi="Arial" w:cs="Arial"/>
                <w:sz w:val="18"/>
                <w:szCs w:val="18"/>
              </w:rPr>
              <w:t>General Assembly</w:t>
            </w:r>
          </w:p>
          <w:p w14:paraId="761231BD"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411 Legislative Avenue</w:t>
            </w:r>
          </w:p>
          <w:p w14:paraId="330B0DBB"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Dover, DE 19901</w:t>
            </w:r>
          </w:p>
        </w:tc>
        <w:tc>
          <w:tcPr>
            <w:tcW w:w="1575" w:type="dxa"/>
            <w:shd w:val="clear" w:color="auto" w:fill="auto"/>
            <w:vAlign w:val="center"/>
          </w:tcPr>
          <w:p w14:paraId="4A1A9254" w14:textId="77777777" w:rsidR="00CE32A7" w:rsidRPr="00616F0B" w:rsidRDefault="00CE32A7" w:rsidP="00CE32A7">
            <w:pPr>
              <w:pStyle w:val="TableParagraph"/>
              <w:ind w:left="0"/>
              <w:rPr>
                <w:rFonts w:ascii="Arial" w:hAnsi="Arial" w:cs="Arial"/>
                <w:sz w:val="18"/>
                <w:szCs w:val="18"/>
              </w:rPr>
            </w:pPr>
          </w:p>
        </w:tc>
      </w:tr>
      <w:tr w:rsidR="00CE32A7" w:rsidRPr="00341151" w14:paraId="44050064" w14:textId="77777777" w:rsidTr="00CE32A7">
        <w:trPr>
          <w:trHeight w:val="435"/>
        </w:trPr>
        <w:tc>
          <w:tcPr>
            <w:tcW w:w="4005" w:type="dxa"/>
            <w:shd w:val="clear" w:color="auto" w:fill="FFFFFF"/>
            <w:vAlign w:val="center"/>
          </w:tcPr>
          <w:p w14:paraId="75931BBC" w14:textId="77777777" w:rsidR="00CE32A7" w:rsidRDefault="00CE32A7" w:rsidP="00CE32A7">
            <w:pPr>
              <w:pStyle w:val="TableParagraph"/>
              <w:ind w:left="0"/>
              <w:rPr>
                <w:rFonts w:ascii="Arial" w:hAnsi="Arial" w:cs="Arial"/>
                <w:sz w:val="18"/>
                <w:szCs w:val="18"/>
              </w:rPr>
            </w:pPr>
            <w:r>
              <w:rPr>
                <w:rFonts w:ascii="Arial" w:hAnsi="Arial" w:cs="Arial"/>
                <w:sz w:val="18"/>
                <w:szCs w:val="18"/>
              </w:rPr>
              <w:t>Hospital for the Chronically Ill</w:t>
            </w:r>
          </w:p>
          <w:p w14:paraId="279BF61B"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100 Sunnyside Road</w:t>
            </w:r>
          </w:p>
          <w:p w14:paraId="253D388F"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Smyrna, DE 19977</w:t>
            </w:r>
          </w:p>
        </w:tc>
        <w:tc>
          <w:tcPr>
            <w:tcW w:w="1575" w:type="dxa"/>
            <w:shd w:val="clear" w:color="auto" w:fill="auto"/>
            <w:vAlign w:val="center"/>
          </w:tcPr>
          <w:p w14:paraId="38AF9C1E" w14:textId="77777777" w:rsidR="00CE32A7" w:rsidRPr="00616F0B" w:rsidRDefault="00CE32A7" w:rsidP="00CE32A7">
            <w:pPr>
              <w:pStyle w:val="TableParagraph"/>
              <w:ind w:left="0"/>
              <w:rPr>
                <w:rFonts w:ascii="Arial" w:hAnsi="Arial" w:cs="Arial"/>
                <w:sz w:val="18"/>
                <w:szCs w:val="18"/>
              </w:rPr>
            </w:pPr>
          </w:p>
        </w:tc>
      </w:tr>
      <w:tr w:rsidR="00CE32A7" w:rsidRPr="00341151" w14:paraId="53C6FB67" w14:textId="77777777" w:rsidTr="00CE32A7">
        <w:trPr>
          <w:trHeight w:val="435"/>
        </w:trPr>
        <w:tc>
          <w:tcPr>
            <w:tcW w:w="4005" w:type="dxa"/>
            <w:shd w:val="clear" w:color="auto" w:fill="FFFFFF"/>
            <w:vAlign w:val="center"/>
          </w:tcPr>
          <w:p w14:paraId="0EECDFD6" w14:textId="77777777" w:rsidR="00CE32A7" w:rsidRDefault="00CE32A7" w:rsidP="00CE32A7">
            <w:pPr>
              <w:pStyle w:val="TableParagraph"/>
              <w:ind w:left="0"/>
              <w:rPr>
                <w:rFonts w:ascii="Arial" w:hAnsi="Arial" w:cs="Arial"/>
                <w:sz w:val="18"/>
                <w:szCs w:val="18"/>
              </w:rPr>
            </w:pPr>
            <w:r>
              <w:rPr>
                <w:rFonts w:ascii="Arial" w:hAnsi="Arial" w:cs="Arial"/>
                <w:sz w:val="18"/>
                <w:szCs w:val="18"/>
              </w:rPr>
              <w:t>Human Resources</w:t>
            </w:r>
          </w:p>
          <w:p w14:paraId="3053D09C"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Haslet Armory, 2nd Floor, 122 Martin Luther King Jr. Blvd. South</w:t>
            </w:r>
          </w:p>
          <w:p w14:paraId="1A76CF89"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Dover, DE 19901</w:t>
            </w:r>
          </w:p>
        </w:tc>
        <w:tc>
          <w:tcPr>
            <w:tcW w:w="1575" w:type="dxa"/>
            <w:shd w:val="clear" w:color="auto" w:fill="auto"/>
            <w:vAlign w:val="center"/>
          </w:tcPr>
          <w:p w14:paraId="5B046C98" w14:textId="77777777" w:rsidR="00CE32A7" w:rsidRPr="00616F0B" w:rsidRDefault="00CE32A7" w:rsidP="00CE32A7">
            <w:pPr>
              <w:pStyle w:val="TableParagraph"/>
              <w:ind w:left="0"/>
              <w:rPr>
                <w:rFonts w:ascii="Arial" w:hAnsi="Arial" w:cs="Arial"/>
                <w:sz w:val="18"/>
                <w:szCs w:val="18"/>
              </w:rPr>
            </w:pPr>
          </w:p>
        </w:tc>
      </w:tr>
      <w:tr w:rsidR="00CE32A7" w:rsidRPr="00341151" w14:paraId="0FC77901" w14:textId="77777777" w:rsidTr="00CE32A7">
        <w:trPr>
          <w:trHeight w:val="435"/>
        </w:trPr>
        <w:tc>
          <w:tcPr>
            <w:tcW w:w="4005" w:type="dxa"/>
            <w:shd w:val="clear" w:color="auto" w:fill="FFFFFF"/>
            <w:vAlign w:val="center"/>
          </w:tcPr>
          <w:p w14:paraId="13A785BF" w14:textId="77777777" w:rsidR="00866EF6" w:rsidRDefault="00CE32A7" w:rsidP="00CE32A7">
            <w:pPr>
              <w:pStyle w:val="TableParagraph"/>
              <w:ind w:left="0"/>
              <w:rPr>
                <w:rFonts w:ascii="Arial" w:hAnsi="Arial" w:cs="Arial"/>
                <w:sz w:val="18"/>
                <w:szCs w:val="18"/>
              </w:rPr>
            </w:pPr>
            <w:r>
              <w:rPr>
                <w:rFonts w:ascii="Arial" w:hAnsi="Arial" w:cs="Arial"/>
                <w:sz w:val="18"/>
                <w:szCs w:val="18"/>
              </w:rPr>
              <w:t xml:space="preserve">Justice of the Peace </w:t>
            </w:r>
            <w:r w:rsidR="00866EF6">
              <w:rPr>
                <w:rFonts w:ascii="Arial" w:hAnsi="Arial" w:cs="Arial"/>
                <w:sz w:val="18"/>
                <w:szCs w:val="18"/>
              </w:rPr>
              <w:t>Court 2</w:t>
            </w:r>
          </w:p>
          <w:p w14:paraId="1CC2B65F" w14:textId="77777777" w:rsidR="00866EF6" w:rsidRDefault="00866EF6" w:rsidP="00CE32A7">
            <w:pPr>
              <w:pStyle w:val="TableParagraph"/>
              <w:ind w:left="0"/>
              <w:rPr>
                <w:rFonts w:ascii="Arial" w:hAnsi="Arial" w:cs="Arial"/>
                <w:sz w:val="18"/>
                <w:szCs w:val="18"/>
              </w:rPr>
            </w:pPr>
            <w:r>
              <w:rPr>
                <w:rFonts w:ascii="Arial" w:hAnsi="Arial" w:cs="Arial"/>
                <w:sz w:val="18"/>
                <w:szCs w:val="18"/>
              </w:rPr>
              <w:t>35252 Hudson Way, Unit #1</w:t>
            </w:r>
          </w:p>
          <w:p w14:paraId="74DB2703" w14:textId="77777777" w:rsidR="00CE32A7" w:rsidRPr="00D92A65" w:rsidRDefault="00866EF6" w:rsidP="00CE32A7">
            <w:pPr>
              <w:pStyle w:val="TableParagraph"/>
              <w:ind w:left="0"/>
              <w:rPr>
                <w:rFonts w:ascii="Arial" w:hAnsi="Arial" w:cs="Arial"/>
                <w:sz w:val="18"/>
                <w:szCs w:val="18"/>
              </w:rPr>
            </w:pPr>
            <w:r w:rsidRPr="00CC34E6">
              <w:rPr>
                <w:sz w:val="18"/>
                <w:szCs w:val="18"/>
              </w:rPr>
              <w:t>Rehoboth Beach, DE 19971</w:t>
            </w:r>
          </w:p>
        </w:tc>
        <w:tc>
          <w:tcPr>
            <w:tcW w:w="1575" w:type="dxa"/>
            <w:shd w:val="clear" w:color="auto" w:fill="auto"/>
            <w:vAlign w:val="center"/>
          </w:tcPr>
          <w:p w14:paraId="16748964" w14:textId="77777777" w:rsidR="00CE32A7" w:rsidRPr="00616F0B" w:rsidRDefault="00CE32A7" w:rsidP="00CE32A7">
            <w:pPr>
              <w:pStyle w:val="TableParagraph"/>
              <w:ind w:left="0"/>
              <w:rPr>
                <w:rFonts w:ascii="Arial" w:hAnsi="Arial" w:cs="Arial"/>
                <w:sz w:val="18"/>
                <w:szCs w:val="18"/>
              </w:rPr>
            </w:pPr>
          </w:p>
        </w:tc>
      </w:tr>
      <w:tr w:rsidR="00866EF6" w:rsidRPr="00341151" w14:paraId="69736C5D" w14:textId="77777777" w:rsidTr="00CE32A7">
        <w:trPr>
          <w:trHeight w:val="435"/>
        </w:trPr>
        <w:tc>
          <w:tcPr>
            <w:tcW w:w="4005" w:type="dxa"/>
            <w:shd w:val="clear" w:color="auto" w:fill="FFFFFF"/>
            <w:vAlign w:val="center"/>
          </w:tcPr>
          <w:p w14:paraId="7279CD43" w14:textId="77777777" w:rsidR="00866EF6" w:rsidRDefault="00866EF6" w:rsidP="00CE32A7">
            <w:pPr>
              <w:pStyle w:val="TableParagraph"/>
              <w:ind w:left="0"/>
              <w:rPr>
                <w:rFonts w:ascii="Arial" w:hAnsi="Arial" w:cs="Arial"/>
                <w:sz w:val="18"/>
                <w:szCs w:val="18"/>
              </w:rPr>
            </w:pPr>
            <w:r>
              <w:rPr>
                <w:rFonts w:ascii="Arial" w:hAnsi="Arial" w:cs="Arial"/>
                <w:sz w:val="18"/>
                <w:szCs w:val="18"/>
              </w:rPr>
              <w:t>Justice of the Peace Court 3</w:t>
            </w:r>
          </w:p>
          <w:p w14:paraId="45C4827E" w14:textId="77777777" w:rsidR="00866EF6" w:rsidRDefault="00866EF6" w:rsidP="00CE32A7">
            <w:pPr>
              <w:pStyle w:val="TableParagraph"/>
              <w:ind w:left="0"/>
              <w:rPr>
                <w:rFonts w:ascii="Arial" w:hAnsi="Arial" w:cs="Arial"/>
                <w:sz w:val="18"/>
                <w:szCs w:val="18"/>
              </w:rPr>
            </w:pPr>
            <w:r>
              <w:rPr>
                <w:rFonts w:ascii="Arial" w:hAnsi="Arial" w:cs="Arial"/>
                <w:sz w:val="18"/>
                <w:szCs w:val="18"/>
              </w:rPr>
              <w:t>23730 Shortly Rd</w:t>
            </w:r>
          </w:p>
          <w:p w14:paraId="1ECEFF0E" w14:textId="77777777" w:rsidR="00866EF6" w:rsidRDefault="00866EF6" w:rsidP="00CE32A7">
            <w:pPr>
              <w:pStyle w:val="TableParagraph"/>
              <w:ind w:left="0"/>
              <w:rPr>
                <w:rFonts w:ascii="Arial" w:hAnsi="Arial" w:cs="Arial"/>
                <w:sz w:val="18"/>
                <w:szCs w:val="18"/>
              </w:rPr>
            </w:pPr>
            <w:r>
              <w:rPr>
                <w:rFonts w:ascii="Arial" w:hAnsi="Arial" w:cs="Arial"/>
                <w:sz w:val="18"/>
                <w:szCs w:val="18"/>
              </w:rPr>
              <w:t>Georgetown, DE 19947</w:t>
            </w:r>
          </w:p>
        </w:tc>
        <w:tc>
          <w:tcPr>
            <w:tcW w:w="1575" w:type="dxa"/>
            <w:shd w:val="clear" w:color="auto" w:fill="auto"/>
            <w:vAlign w:val="center"/>
          </w:tcPr>
          <w:p w14:paraId="061B896A" w14:textId="77777777" w:rsidR="00866EF6" w:rsidRPr="00616F0B" w:rsidRDefault="00866EF6" w:rsidP="00CE32A7">
            <w:pPr>
              <w:pStyle w:val="TableParagraph"/>
              <w:ind w:left="0"/>
              <w:rPr>
                <w:rFonts w:ascii="Arial" w:hAnsi="Arial" w:cs="Arial"/>
                <w:sz w:val="18"/>
                <w:szCs w:val="18"/>
              </w:rPr>
            </w:pPr>
          </w:p>
        </w:tc>
      </w:tr>
      <w:tr w:rsidR="00866EF6" w:rsidRPr="00341151" w14:paraId="23ECE299" w14:textId="77777777" w:rsidTr="00CE32A7">
        <w:trPr>
          <w:trHeight w:val="435"/>
        </w:trPr>
        <w:tc>
          <w:tcPr>
            <w:tcW w:w="4005" w:type="dxa"/>
            <w:shd w:val="clear" w:color="auto" w:fill="FFFFFF"/>
            <w:vAlign w:val="center"/>
          </w:tcPr>
          <w:p w14:paraId="0C112938" w14:textId="77777777" w:rsidR="00866EF6" w:rsidRDefault="00866EF6" w:rsidP="00CE32A7">
            <w:pPr>
              <w:pStyle w:val="TableParagraph"/>
              <w:ind w:left="0"/>
              <w:rPr>
                <w:rFonts w:ascii="Arial" w:hAnsi="Arial" w:cs="Arial"/>
                <w:sz w:val="18"/>
                <w:szCs w:val="18"/>
              </w:rPr>
            </w:pPr>
            <w:r>
              <w:rPr>
                <w:rFonts w:ascii="Arial" w:hAnsi="Arial" w:cs="Arial"/>
                <w:sz w:val="18"/>
                <w:szCs w:val="18"/>
              </w:rPr>
              <w:t>Justice of the Peace Court 4</w:t>
            </w:r>
          </w:p>
          <w:p w14:paraId="0966FF5F" w14:textId="77777777" w:rsidR="00B36509" w:rsidRDefault="00B36509" w:rsidP="00CE32A7">
            <w:pPr>
              <w:pStyle w:val="TableParagraph"/>
              <w:ind w:left="0"/>
              <w:rPr>
                <w:rFonts w:ascii="Arial" w:hAnsi="Arial" w:cs="Arial"/>
                <w:sz w:val="18"/>
                <w:szCs w:val="18"/>
              </w:rPr>
            </w:pPr>
            <w:r>
              <w:rPr>
                <w:rFonts w:ascii="Arial" w:hAnsi="Arial" w:cs="Arial"/>
                <w:sz w:val="18"/>
                <w:szCs w:val="18"/>
              </w:rPr>
              <w:t>408 E. Stein Highway</w:t>
            </w:r>
          </w:p>
          <w:p w14:paraId="4F5F9190" w14:textId="77777777" w:rsidR="00B36509" w:rsidRDefault="00B36509" w:rsidP="00CE32A7">
            <w:pPr>
              <w:pStyle w:val="TableParagraph"/>
              <w:ind w:left="0"/>
              <w:rPr>
                <w:rFonts w:ascii="Arial" w:hAnsi="Arial" w:cs="Arial"/>
                <w:sz w:val="18"/>
                <w:szCs w:val="18"/>
              </w:rPr>
            </w:pPr>
            <w:r>
              <w:rPr>
                <w:rFonts w:ascii="Arial" w:hAnsi="Arial" w:cs="Arial"/>
                <w:sz w:val="18"/>
                <w:szCs w:val="18"/>
              </w:rPr>
              <w:t>Seaford, DE 19973</w:t>
            </w:r>
          </w:p>
        </w:tc>
        <w:tc>
          <w:tcPr>
            <w:tcW w:w="1575" w:type="dxa"/>
            <w:shd w:val="clear" w:color="auto" w:fill="auto"/>
            <w:vAlign w:val="center"/>
          </w:tcPr>
          <w:p w14:paraId="2060280B" w14:textId="77777777" w:rsidR="00866EF6" w:rsidRPr="00616F0B" w:rsidRDefault="00866EF6" w:rsidP="00CE32A7">
            <w:pPr>
              <w:pStyle w:val="TableParagraph"/>
              <w:ind w:left="0"/>
              <w:rPr>
                <w:rFonts w:ascii="Arial" w:hAnsi="Arial" w:cs="Arial"/>
                <w:sz w:val="18"/>
                <w:szCs w:val="18"/>
              </w:rPr>
            </w:pPr>
          </w:p>
        </w:tc>
      </w:tr>
      <w:tr w:rsidR="00866EF6" w:rsidRPr="00341151" w14:paraId="4C7C597E" w14:textId="77777777" w:rsidTr="00CC34E6">
        <w:trPr>
          <w:trHeight w:val="435"/>
        </w:trPr>
        <w:tc>
          <w:tcPr>
            <w:tcW w:w="4005" w:type="dxa"/>
            <w:shd w:val="clear" w:color="auto" w:fill="FFFFFF"/>
          </w:tcPr>
          <w:p w14:paraId="51BDCEB0"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6</w:t>
            </w:r>
          </w:p>
          <w:p w14:paraId="79AF1E3C" w14:textId="77777777" w:rsidR="00B36509" w:rsidRDefault="00B36509" w:rsidP="00866EF6">
            <w:pPr>
              <w:pStyle w:val="TableParagraph"/>
              <w:ind w:left="0"/>
              <w:rPr>
                <w:rFonts w:ascii="Arial" w:hAnsi="Arial" w:cs="Arial"/>
                <w:sz w:val="18"/>
                <w:szCs w:val="18"/>
              </w:rPr>
            </w:pPr>
            <w:r>
              <w:rPr>
                <w:rFonts w:ascii="Arial" w:hAnsi="Arial" w:cs="Arial"/>
                <w:sz w:val="18"/>
                <w:szCs w:val="18"/>
              </w:rPr>
              <w:t>35 Cams Fortune Way</w:t>
            </w:r>
          </w:p>
          <w:p w14:paraId="4E27DE01" w14:textId="77777777" w:rsidR="00B36509" w:rsidRDefault="00B36509" w:rsidP="00866EF6">
            <w:pPr>
              <w:pStyle w:val="TableParagraph"/>
              <w:ind w:left="0"/>
              <w:rPr>
                <w:rFonts w:ascii="Arial" w:hAnsi="Arial" w:cs="Arial"/>
                <w:sz w:val="18"/>
                <w:szCs w:val="18"/>
              </w:rPr>
            </w:pPr>
            <w:r>
              <w:rPr>
                <w:rFonts w:ascii="Arial" w:hAnsi="Arial" w:cs="Arial"/>
                <w:sz w:val="18"/>
                <w:szCs w:val="18"/>
              </w:rPr>
              <w:t>Harrington, DE 19952</w:t>
            </w:r>
          </w:p>
        </w:tc>
        <w:tc>
          <w:tcPr>
            <w:tcW w:w="1575" w:type="dxa"/>
            <w:shd w:val="clear" w:color="auto" w:fill="auto"/>
            <w:vAlign w:val="center"/>
          </w:tcPr>
          <w:p w14:paraId="6A7CB017" w14:textId="77777777" w:rsidR="00866EF6" w:rsidRPr="00616F0B" w:rsidRDefault="00866EF6" w:rsidP="00866EF6">
            <w:pPr>
              <w:pStyle w:val="TableParagraph"/>
              <w:ind w:left="0"/>
              <w:rPr>
                <w:rFonts w:ascii="Arial" w:hAnsi="Arial" w:cs="Arial"/>
                <w:sz w:val="18"/>
                <w:szCs w:val="18"/>
              </w:rPr>
            </w:pPr>
          </w:p>
        </w:tc>
      </w:tr>
      <w:tr w:rsidR="00866EF6" w:rsidRPr="00341151" w14:paraId="18C37796" w14:textId="77777777" w:rsidTr="00CC34E6">
        <w:trPr>
          <w:trHeight w:val="435"/>
        </w:trPr>
        <w:tc>
          <w:tcPr>
            <w:tcW w:w="4005" w:type="dxa"/>
            <w:shd w:val="clear" w:color="auto" w:fill="FFFFFF"/>
          </w:tcPr>
          <w:p w14:paraId="59820945"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7</w:t>
            </w:r>
          </w:p>
          <w:p w14:paraId="6CAA7561" w14:textId="77777777" w:rsidR="00B36509" w:rsidRDefault="00B36509" w:rsidP="00866EF6">
            <w:pPr>
              <w:pStyle w:val="TableParagraph"/>
              <w:ind w:left="0"/>
              <w:rPr>
                <w:rFonts w:ascii="Arial" w:hAnsi="Arial" w:cs="Arial"/>
                <w:sz w:val="18"/>
                <w:szCs w:val="18"/>
              </w:rPr>
            </w:pPr>
            <w:r>
              <w:rPr>
                <w:rFonts w:ascii="Arial" w:hAnsi="Arial" w:cs="Arial"/>
                <w:sz w:val="18"/>
                <w:szCs w:val="18"/>
              </w:rPr>
              <w:t>480 Bank Lane</w:t>
            </w:r>
          </w:p>
          <w:p w14:paraId="6265F7DB" w14:textId="77777777" w:rsidR="00B36509" w:rsidRDefault="00B36509" w:rsidP="00866EF6">
            <w:pPr>
              <w:pStyle w:val="TableParagraph"/>
              <w:ind w:left="0"/>
              <w:rPr>
                <w:rFonts w:ascii="Arial" w:hAnsi="Arial" w:cs="Arial"/>
                <w:sz w:val="18"/>
                <w:szCs w:val="18"/>
              </w:rPr>
            </w:pPr>
            <w:r>
              <w:rPr>
                <w:rFonts w:ascii="Arial" w:hAnsi="Arial" w:cs="Arial"/>
                <w:sz w:val="18"/>
                <w:szCs w:val="18"/>
              </w:rPr>
              <w:t>Dover, DE 19904</w:t>
            </w:r>
          </w:p>
        </w:tc>
        <w:tc>
          <w:tcPr>
            <w:tcW w:w="1575" w:type="dxa"/>
            <w:shd w:val="clear" w:color="auto" w:fill="auto"/>
            <w:vAlign w:val="center"/>
          </w:tcPr>
          <w:p w14:paraId="7CE282DE" w14:textId="77777777" w:rsidR="00866EF6" w:rsidRPr="00616F0B" w:rsidRDefault="00866EF6" w:rsidP="00866EF6">
            <w:pPr>
              <w:pStyle w:val="TableParagraph"/>
              <w:ind w:left="0"/>
              <w:rPr>
                <w:rFonts w:ascii="Arial" w:hAnsi="Arial" w:cs="Arial"/>
                <w:sz w:val="18"/>
                <w:szCs w:val="18"/>
              </w:rPr>
            </w:pPr>
          </w:p>
        </w:tc>
      </w:tr>
      <w:tr w:rsidR="00866EF6" w:rsidRPr="00341151" w14:paraId="0C2ED1A4" w14:textId="77777777" w:rsidTr="00CC34E6">
        <w:trPr>
          <w:trHeight w:val="435"/>
        </w:trPr>
        <w:tc>
          <w:tcPr>
            <w:tcW w:w="4005" w:type="dxa"/>
            <w:shd w:val="clear" w:color="auto" w:fill="FFFFFF"/>
          </w:tcPr>
          <w:p w14:paraId="1DCF6F90"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8</w:t>
            </w:r>
          </w:p>
          <w:p w14:paraId="39F7B863" w14:textId="77777777" w:rsidR="00B36509" w:rsidRDefault="00B36509" w:rsidP="00866EF6">
            <w:pPr>
              <w:pStyle w:val="TableParagraph"/>
              <w:ind w:left="0"/>
              <w:rPr>
                <w:rFonts w:ascii="Arial" w:hAnsi="Arial" w:cs="Arial"/>
                <w:sz w:val="18"/>
                <w:szCs w:val="18"/>
              </w:rPr>
            </w:pPr>
            <w:r>
              <w:rPr>
                <w:rFonts w:ascii="Arial" w:hAnsi="Arial" w:cs="Arial"/>
                <w:sz w:val="18"/>
                <w:szCs w:val="18"/>
              </w:rPr>
              <w:t>100 Monrovia Ave.</w:t>
            </w:r>
          </w:p>
          <w:p w14:paraId="6F6975F8" w14:textId="77777777" w:rsidR="00B36509" w:rsidRDefault="00B36509" w:rsidP="00866EF6">
            <w:pPr>
              <w:pStyle w:val="TableParagraph"/>
              <w:ind w:left="0"/>
              <w:rPr>
                <w:rFonts w:ascii="Arial" w:hAnsi="Arial" w:cs="Arial"/>
                <w:sz w:val="18"/>
                <w:szCs w:val="18"/>
              </w:rPr>
            </w:pPr>
            <w:r>
              <w:rPr>
                <w:rFonts w:ascii="Arial" w:hAnsi="Arial" w:cs="Arial"/>
                <w:sz w:val="18"/>
                <w:szCs w:val="18"/>
              </w:rPr>
              <w:t>Smyrna, DE 19977</w:t>
            </w:r>
          </w:p>
        </w:tc>
        <w:tc>
          <w:tcPr>
            <w:tcW w:w="1575" w:type="dxa"/>
            <w:shd w:val="clear" w:color="auto" w:fill="auto"/>
            <w:vAlign w:val="center"/>
          </w:tcPr>
          <w:p w14:paraId="3BDF9A4A" w14:textId="77777777" w:rsidR="00866EF6" w:rsidRPr="00616F0B" w:rsidRDefault="00866EF6" w:rsidP="00866EF6">
            <w:pPr>
              <w:pStyle w:val="TableParagraph"/>
              <w:ind w:left="0"/>
              <w:rPr>
                <w:rFonts w:ascii="Arial" w:hAnsi="Arial" w:cs="Arial"/>
                <w:sz w:val="18"/>
                <w:szCs w:val="18"/>
              </w:rPr>
            </w:pPr>
          </w:p>
        </w:tc>
      </w:tr>
      <w:tr w:rsidR="00866EF6" w:rsidRPr="00341151" w14:paraId="0F8BA94D" w14:textId="77777777" w:rsidTr="00CC34E6">
        <w:trPr>
          <w:trHeight w:val="435"/>
        </w:trPr>
        <w:tc>
          <w:tcPr>
            <w:tcW w:w="4005" w:type="dxa"/>
            <w:shd w:val="clear" w:color="auto" w:fill="FFFFFF"/>
          </w:tcPr>
          <w:p w14:paraId="7B2D425D"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9</w:t>
            </w:r>
          </w:p>
          <w:p w14:paraId="1257D60F" w14:textId="77777777" w:rsidR="00B36509" w:rsidRDefault="00B36509" w:rsidP="00866EF6">
            <w:pPr>
              <w:pStyle w:val="TableParagraph"/>
              <w:ind w:left="0"/>
              <w:rPr>
                <w:rFonts w:ascii="Arial" w:hAnsi="Arial" w:cs="Arial"/>
                <w:sz w:val="18"/>
                <w:szCs w:val="18"/>
              </w:rPr>
            </w:pPr>
            <w:r>
              <w:rPr>
                <w:rFonts w:ascii="Arial" w:hAnsi="Arial" w:cs="Arial"/>
                <w:sz w:val="18"/>
                <w:szCs w:val="18"/>
              </w:rPr>
              <w:t>757 N. Broad St.</w:t>
            </w:r>
          </w:p>
          <w:p w14:paraId="4EBBC30F" w14:textId="77777777" w:rsidR="00B36509" w:rsidRDefault="00B36509" w:rsidP="00866EF6">
            <w:pPr>
              <w:pStyle w:val="TableParagraph"/>
              <w:ind w:left="0"/>
              <w:rPr>
                <w:rFonts w:ascii="Arial" w:hAnsi="Arial" w:cs="Arial"/>
                <w:sz w:val="18"/>
                <w:szCs w:val="18"/>
              </w:rPr>
            </w:pPr>
            <w:r>
              <w:rPr>
                <w:rFonts w:ascii="Arial" w:hAnsi="Arial" w:cs="Arial"/>
                <w:sz w:val="18"/>
                <w:szCs w:val="18"/>
              </w:rPr>
              <w:t>Middletown Square Shopping Center</w:t>
            </w:r>
          </w:p>
          <w:p w14:paraId="1436E67A" w14:textId="77777777" w:rsidR="00B36509" w:rsidRDefault="00B36509" w:rsidP="00866EF6">
            <w:pPr>
              <w:pStyle w:val="TableParagraph"/>
              <w:ind w:left="0"/>
              <w:rPr>
                <w:rFonts w:ascii="Arial" w:hAnsi="Arial" w:cs="Arial"/>
                <w:sz w:val="18"/>
                <w:szCs w:val="18"/>
              </w:rPr>
            </w:pPr>
            <w:r>
              <w:rPr>
                <w:rFonts w:ascii="Arial" w:hAnsi="Arial" w:cs="Arial"/>
                <w:sz w:val="18"/>
                <w:szCs w:val="18"/>
              </w:rPr>
              <w:t>Middletown, DE 19709</w:t>
            </w:r>
          </w:p>
        </w:tc>
        <w:tc>
          <w:tcPr>
            <w:tcW w:w="1575" w:type="dxa"/>
            <w:shd w:val="clear" w:color="auto" w:fill="auto"/>
            <w:vAlign w:val="center"/>
          </w:tcPr>
          <w:p w14:paraId="19348980" w14:textId="77777777" w:rsidR="00866EF6" w:rsidRPr="00616F0B" w:rsidRDefault="00866EF6" w:rsidP="00866EF6">
            <w:pPr>
              <w:pStyle w:val="TableParagraph"/>
              <w:ind w:left="0"/>
              <w:rPr>
                <w:rFonts w:ascii="Arial" w:hAnsi="Arial" w:cs="Arial"/>
                <w:sz w:val="18"/>
                <w:szCs w:val="18"/>
              </w:rPr>
            </w:pPr>
          </w:p>
        </w:tc>
      </w:tr>
      <w:tr w:rsidR="00866EF6" w:rsidRPr="00341151" w14:paraId="0C961C80" w14:textId="77777777" w:rsidTr="00CC34E6">
        <w:trPr>
          <w:trHeight w:val="435"/>
        </w:trPr>
        <w:tc>
          <w:tcPr>
            <w:tcW w:w="4005" w:type="dxa"/>
            <w:shd w:val="clear" w:color="auto" w:fill="FFFFFF"/>
          </w:tcPr>
          <w:p w14:paraId="7BEAB27B"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10</w:t>
            </w:r>
          </w:p>
          <w:p w14:paraId="75CE0BC5" w14:textId="77777777" w:rsidR="00B36509" w:rsidRDefault="00B36509" w:rsidP="00866EF6">
            <w:pPr>
              <w:pStyle w:val="TableParagraph"/>
              <w:ind w:left="0"/>
              <w:rPr>
                <w:rFonts w:ascii="Arial" w:hAnsi="Arial" w:cs="Arial"/>
                <w:sz w:val="18"/>
                <w:szCs w:val="18"/>
              </w:rPr>
            </w:pPr>
            <w:r>
              <w:rPr>
                <w:rFonts w:ascii="Arial" w:hAnsi="Arial" w:cs="Arial"/>
                <w:sz w:val="18"/>
                <w:szCs w:val="18"/>
              </w:rPr>
              <w:t xml:space="preserve">210 </w:t>
            </w:r>
            <w:proofErr w:type="spellStart"/>
            <w:r>
              <w:rPr>
                <w:rFonts w:ascii="Arial" w:hAnsi="Arial" w:cs="Arial"/>
                <w:sz w:val="18"/>
                <w:szCs w:val="18"/>
              </w:rPr>
              <w:t>Greenbank</w:t>
            </w:r>
            <w:proofErr w:type="spellEnd"/>
            <w:r>
              <w:rPr>
                <w:rFonts w:ascii="Arial" w:hAnsi="Arial" w:cs="Arial"/>
                <w:sz w:val="18"/>
                <w:szCs w:val="18"/>
              </w:rPr>
              <w:t xml:space="preserve"> Rd.</w:t>
            </w:r>
          </w:p>
          <w:p w14:paraId="7CA684C4" w14:textId="77777777" w:rsidR="00B36509" w:rsidRDefault="00B36509" w:rsidP="00866EF6">
            <w:pPr>
              <w:pStyle w:val="TableParagraph"/>
              <w:ind w:left="0"/>
              <w:rPr>
                <w:rFonts w:ascii="Arial" w:hAnsi="Arial" w:cs="Arial"/>
                <w:sz w:val="18"/>
                <w:szCs w:val="18"/>
              </w:rPr>
            </w:pPr>
            <w:r>
              <w:rPr>
                <w:rFonts w:ascii="Arial" w:hAnsi="Arial" w:cs="Arial"/>
                <w:sz w:val="18"/>
                <w:szCs w:val="18"/>
              </w:rPr>
              <w:t>Wilmington, DE 19808</w:t>
            </w:r>
          </w:p>
        </w:tc>
        <w:tc>
          <w:tcPr>
            <w:tcW w:w="1575" w:type="dxa"/>
            <w:shd w:val="clear" w:color="auto" w:fill="auto"/>
            <w:vAlign w:val="center"/>
          </w:tcPr>
          <w:p w14:paraId="1B404B51" w14:textId="77777777" w:rsidR="00866EF6" w:rsidRPr="00616F0B" w:rsidRDefault="00866EF6" w:rsidP="00866EF6">
            <w:pPr>
              <w:pStyle w:val="TableParagraph"/>
              <w:ind w:left="0"/>
              <w:rPr>
                <w:rFonts w:ascii="Arial" w:hAnsi="Arial" w:cs="Arial"/>
                <w:sz w:val="18"/>
                <w:szCs w:val="18"/>
              </w:rPr>
            </w:pPr>
          </w:p>
        </w:tc>
      </w:tr>
      <w:tr w:rsidR="00866EF6" w:rsidRPr="00341151" w14:paraId="1FB8399A" w14:textId="77777777" w:rsidTr="00CC34E6">
        <w:trPr>
          <w:trHeight w:val="435"/>
        </w:trPr>
        <w:tc>
          <w:tcPr>
            <w:tcW w:w="4005" w:type="dxa"/>
            <w:shd w:val="clear" w:color="auto" w:fill="FFFFFF"/>
          </w:tcPr>
          <w:p w14:paraId="75D00535"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11</w:t>
            </w:r>
          </w:p>
          <w:p w14:paraId="4864B0A0" w14:textId="77777777" w:rsidR="00B36509" w:rsidRDefault="00B36509" w:rsidP="00866EF6">
            <w:pPr>
              <w:pStyle w:val="TableParagraph"/>
              <w:ind w:left="0"/>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Penns</w:t>
            </w:r>
            <w:proofErr w:type="spellEnd"/>
            <w:r>
              <w:rPr>
                <w:rFonts w:ascii="Arial" w:hAnsi="Arial" w:cs="Arial"/>
                <w:sz w:val="18"/>
                <w:szCs w:val="18"/>
              </w:rPr>
              <w:t xml:space="preserve"> Way</w:t>
            </w:r>
          </w:p>
          <w:p w14:paraId="59D8B307" w14:textId="77777777" w:rsidR="00B36509" w:rsidRDefault="00B36509" w:rsidP="00866EF6">
            <w:pPr>
              <w:pStyle w:val="TableParagraph"/>
              <w:ind w:left="0"/>
              <w:rPr>
                <w:rFonts w:ascii="Arial" w:hAnsi="Arial" w:cs="Arial"/>
                <w:sz w:val="18"/>
                <w:szCs w:val="18"/>
              </w:rPr>
            </w:pPr>
            <w:r>
              <w:rPr>
                <w:rFonts w:ascii="Arial" w:hAnsi="Arial" w:cs="Arial"/>
                <w:sz w:val="18"/>
                <w:szCs w:val="18"/>
              </w:rPr>
              <w:t>Suite 100A</w:t>
            </w:r>
          </w:p>
          <w:p w14:paraId="695909A1" w14:textId="77777777" w:rsidR="00B36509" w:rsidRDefault="00B36509" w:rsidP="00866EF6">
            <w:pPr>
              <w:pStyle w:val="TableParagraph"/>
              <w:ind w:left="0"/>
              <w:rPr>
                <w:rFonts w:ascii="Arial" w:hAnsi="Arial" w:cs="Arial"/>
                <w:sz w:val="18"/>
                <w:szCs w:val="18"/>
              </w:rPr>
            </w:pPr>
            <w:r>
              <w:rPr>
                <w:rFonts w:ascii="Arial" w:hAnsi="Arial" w:cs="Arial"/>
                <w:sz w:val="18"/>
                <w:szCs w:val="18"/>
              </w:rPr>
              <w:t>New Castle, DE 19720</w:t>
            </w:r>
          </w:p>
        </w:tc>
        <w:tc>
          <w:tcPr>
            <w:tcW w:w="1575" w:type="dxa"/>
            <w:shd w:val="clear" w:color="auto" w:fill="auto"/>
            <w:vAlign w:val="center"/>
          </w:tcPr>
          <w:p w14:paraId="17D34985" w14:textId="77777777" w:rsidR="00866EF6" w:rsidRPr="00616F0B" w:rsidRDefault="00866EF6" w:rsidP="00866EF6">
            <w:pPr>
              <w:pStyle w:val="TableParagraph"/>
              <w:ind w:left="0"/>
              <w:rPr>
                <w:rFonts w:ascii="Arial" w:hAnsi="Arial" w:cs="Arial"/>
                <w:sz w:val="18"/>
                <w:szCs w:val="18"/>
              </w:rPr>
            </w:pPr>
          </w:p>
        </w:tc>
      </w:tr>
      <w:tr w:rsidR="00866EF6" w:rsidRPr="00341151" w14:paraId="5C928C74" w14:textId="77777777" w:rsidTr="00CC34E6">
        <w:trPr>
          <w:trHeight w:val="435"/>
        </w:trPr>
        <w:tc>
          <w:tcPr>
            <w:tcW w:w="4005" w:type="dxa"/>
            <w:shd w:val="clear" w:color="auto" w:fill="FFFFFF"/>
          </w:tcPr>
          <w:p w14:paraId="79868AF4"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13</w:t>
            </w:r>
          </w:p>
          <w:p w14:paraId="398DB3D1" w14:textId="77777777" w:rsidR="00B36509" w:rsidRDefault="00B36509" w:rsidP="00866EF6">
            <w:pPr>
              <w:pStyle w:val="TableParagraph"/>
              <w:ind w:left="0"/>
              <w:rPr>
                <w:rFonts w:ascii="Arial" w:hAnsi="Arial" w:cs="Arial"/>
                <w:sz w:val="18"/>
                <w:szCs w:val="18"/>
              </w:rPr>
            </w:pPr>
            <w:r>
              <w:rPr>
                <w:rFonts w:ascii="Arial" w:hAnsi="Arial" w:cs="Arial"/>
                <w:sz w:val="18"/>
                <w:szCs w:val="18"/>
              </w:rPr>
              <w:t>1010 Concord Ave.</w:t>
            </w:r>
          </w:p>
          <w:p w14:paraId="0C383876" w14:textId="77777777" w:rsidR="00B36509" w:rsidRDefault="00B36509" w:rsidP="00866EF6">
            <w:pPr>
              <w:pStyle w:val="TableParagraph"/>
              <w:ind w:left="0"/>
              <w:rPr>
                <w:rFonts w:ascii="Arial" w:hAnsi="Arial" w:cs="Arial"/>
                <w:sz w:val="18"/>
                <w:szCs w:val="18"/>
              </w:rPr>
            </w:pPr>
            <w:r>
              <w:rPr>
                <w:rFonts w:ascii="Arial" w:hAnsi="Arial" w:cs="Arial"/>
                <w:sz w:val="18"/>
                <w:szCs w:val="18"/>
              </w:rPr>
              <w:t>Wilmington, DE 19802</w:t>
            </w:r>
          </w:p>
        </w:tc>
        <w:tc>
          <w:tcPr>
            <w:tcW w:w="1575" w:type="dxa"/>
            <w:shd w:val="clear" w:color="auto" w:fill="auto"/>
            <w:vAlign w:val="center"/>
          </w:tcPr>
          <w:p w14:paraId="63DAD10B" w14:textId="77777777" w:rsidR="00866EF6" w:rsidRPr="00616F0B" w:rsidRDefault="00866EF6" w:rsidP="00866EF6">
            <w:pPr>
              <w:pStyle w:val="TableParagraph"/>
              <w:ind w:left="0"/>
              <w:rPr>
                <w:rFonts w:ascii="Arial" w:hAnsi="Arial" w:cs="Arial"/>
                <w:sz w:val="18"/>
                <w:szCs w:val="18"/>
              </w:rPr>
            </w:pPr>
          </w:p>
        </w:tc>
      </w:tr>
      <w:tr w:rsidR="00866EF6" w:rsidRPr="00341151" w14:paraId="2F249388" w14:textId="77777777" w:rsidTr="00CC34E6">
        <w:trPr>
          <w:trHeight w:val="435"/>
        </w:trPr>
        <w:tc>
          <w:tcPr>
            <w:tcW w:w="4005" w:type="dxa"/>
            <w:shd w:val="clear" w:color="auto" w:fill="FFFFFF"/>
          </w:tcPr>
          <w:p w14:paraId="7D2328D6"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14</w:t>
            </w:r>
          </w:p>
          <w:p w14:paraId="48E28CC2" w14:textId="77777777" w:rsidR="00B36509" w:rsidRDefault="00B36509" w:rsidP="00866EF6">
            <w:pPr>
              <w:pStyle w:val="TableParagraph"/>
              <w:ind w:left="0"/>
              <w:rPr>
                <w:rFonts w:ascii="Arial" w:hAnsi="Arial" w:cs="Arial"/>
                <w:sz w:val="18"/>
                <w:szCs w:val="18"/>
              </w:rPr>
            </w:pPr>
            <w:r>
              <w:rPr>
                <w:rFonts w:ascii="Arial" w:hAnsi="Arial" w:cs="Arial"/>
                <w:sz w:val="18"/>
                <w:szCs w:val="18"/>
              </w:rPr>
              <w:t>5 E. Pine St.</w:t>
            </w:r>
          </w:p>
          <w:p w14:paraId="363EC16C" w14:textId="77777777" w:rsidR="00B36509" w:rsidRDefault="00B36509" w:rsidP="00866EF6">
            <w:pPr>
              <w:pStyle w:val="TableParagraph"/>
              <w:ind w:left="0"/>
              <w:rPr>
                <w:rFonts w:ascii="Arial" w:hAnsi="Arial" w:cs="Arial"/>
                <w:sz w:val="18"/>
                <w:szCs w:val="18"/>
              </w:rPr>
            </w:pPr>
            <w:r>
              <w:rPr>
                <w:rFonts w:ascii="Arial" w:hAnsi="Arial" w:cs="Arial"/>
                <w:sz w:val="18"/>
                <w:szCs w:val="18"/>
              </w:rPr>
              <w:t>Georgetown, DE 19947</w:t>
            </w:r>
          </w:p>
        </w:tc>
        <w:tc>
          <w:tcPr>
            <w:tcW w:w="1575" w:type="dxa"/>
            <w:shd w:val="clear" w:color="auto" w:fill="auto"/>
            <w:vAlign w:val="center"/>
          </w:tcPr>
          <w:p w14:paraId="208F28FF" w14:textId="77777777" w:rsidR="00866EF6" w:rsidRPr="00616F0B" w:rsidRDefault="00866EF6" w:rsidP="00866EF6">
            <w:pPr>
              <w:pStyle w:val="TableParagraph"/>
              <w:ind w:left="0"/>
              <w:rPr>
                <w:rFonts w:ascii="Arial" w:hAnsi="Arial" w:cs="Arial"/>
                <w:sz w:val="18"/>
                <w:szCs w:val="18"/>
              </w:rPr>
            </w:pPr>
          </w:p>
        </w:tc>
      </w:tr>
      <w:tr w:rsidR="00866EF6" w:rsidRPr="00341151" w14:paraId="54C57620" w14:textId="77777777" w:rsidTr="00CC34E6">
        <w:trPr>
          <w:trHeight w:val="435"/>
        </w:trPr>
        <w:tc>
          <w:tcPr>
            <w:tcW w:w="4005" w:type="dxa"/>
            <w:shd w:val="clear" w:color="auto" w:fill="FFFFFF"/>
          </w:tcPr>
          <w:p w14:paraId="293C9A88"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16</w:t>
            </w:r>
          </w:p>
          <w:p w14:paraId="150109E2" w14:textId="77777777" w:rsidR="00B36509" w:rsidRDefault="00B36509" w:rsidP="00866EF6">
            <w:pPr>
              <w:pStyle w:val="TableParagraph"/>
              <w:ind w:left="0"/>
              <w:rPr>
                <w:rFonts w:ascii="Arial" w:hAnsi="Arial" w:cs="Arial"/>
                <w:sz w:val="18"/>
                <w:szCs w:val="18"/>
              </w:rPr>
            </w:pPr>
            <w:r>
              <w:rPr>
                <w:rFonts w:ascii="Arial" w:hAnsi="Arial" w:cs="Arial"/>
                <w:sz w:val="18"/>
                <w:szCs w:val="18"/>
              </w:rPr>
              <w:t>414 Federal St., Room 173</w:t>
            </w:r>
          </w:p>
          <w:p w14:paraId="63E4D899" w14:textId="77777777" w:rsidR="00B36509" w:rsidRDefault="00B36509" w:rsidP="00866EF6">
            <w:pPr>
              <w:pStyle w:val="TableParagraph"/>
              <w:ind w:left="0"/>
              <w:rPr>
                <w:rFonts w:ascii="Arial" w:hAnsi="Arial" w:cs="Arial"/>
                <w:sz w:val="18"/>
                <w:szCs w:val="18"/>
              </w:rPr>
            </w:pPr>
            <w:r>
              <w:rPr>
                <w:rFonts w:ascii="Arial" w:hAnsi="Arial" w:cs="Arial"/>
                <w:sz w:val="18"/>
                <w:szCs w:val="18"/>
              </w:rPr>
              <w:t>Dover, DE 19901</w:t>
            </w:r>
          </w:p>
        </w:tc>
        <w:tc>
          <w:tcPr>
            <w:tcW w:w="1575" w:type="dxa"/>
            <w:shd w:val="clear" w:color="auto" w:fill="auto"/>
            <w:vAlign w:val="center"/>
          </w:tcPr>
          <w:p w14:paraId="5D5659F2" w14:textId="77777777" w:rsidR="00866EF6" w:rsidRPr="00616F0B" w:rsidRDefault="00866EF6" w:rsidP="00866EF6">
            <w:pPr>
              <w:pStyle w:val="TableParagraph"/>
              <w:ind w:left="0"/>
              <w:rPr>
                <w:rFonts w:ascii="Arial" w:hAnsi="Arial" w:cs="Arial"/>
                <w:sz w:val="18"/>
                <w:szCs w:val="18"/>
              </w:rPr>
            </w:pPr>
          </w:p>
        </w:tc>
      </w:tr>
      <w:tr w:rsidR="00866EF6" w:rsidRPr="00341151" w14:paraId="1297906B" w14:textId="77777777" w:rsidTr="00CC34E6">
        <w:trPr>
          <w:trHeight w:val="435"/>
        </w:trPr>
        <w:tc>
          <w:tcPr>
            <w:tcW w:w="4005" w:type="dxa"/>
            <w:shd w:val="clear" w:color="auto" w:fill="FFFFFF"/>
          </w:tcPr>
          <w:p w14:paraId="365181F7"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17</w:t>
            </w:r>
          </w:p>
          <w:p w14:paraId="6FF3C07C" w14:textId="77777777" w:rsidR="007362C9" w:rsidRDefault="007362C9" w:rsidP="00866EF6">
            <w:pPr>
              <w:pStyle w:val="TableParagraph"/>
              <w:ind w:left="0"/>
              <w:rPr>
                <w:rFonts w:ascii="Arial" w:hAnsi="Arial" w:cs="Arial"/>
                <w:sz w:val="18"/>
                <w:szCs w:val="18"/>
              </w:rPr>
            </w:pPr>
            <w:r>
              <w:rPr>
                <w:rFonts w:ascii="Arial" w:hAnsi="Arial" w:cs="Arial"/>
                <w:sz w:val="18"/>
                <w:szCs w:val="18"/>
              </w:rPr>
              <w:t>23730 Shortly Rd.</w:t>
            </w:r>
          </w:p>
          <w:p w14:paraId="752C5A7E" w14:textId="77777777" w:rsidR="007362C9" w:rsidRDefault="007362C9" w:rsidP="00866EF6">
            <w:pPr>
              <w:pStyle w:val="TableParagraph"/>
              <w:ind w:left="0"/>
              <w:rPr>
                <w:rFonts w:ascii="Arial" w:hAnsi="Arial" w:cs="Arial"/>
                <w:sz w:val="18"/>
                <w:szCs w:val="18"/>
              </w:rPr>
            </w:pPr>
            <w:r>
              <w:rPr>
                <w:rFonts w:ascii="Arial" w:hAnsi="Arial" w:cs="Arial"/>
                <w:sz w:val="18"/>
                <w:szCs w:val="18"/>
              </w:rPr>
              <w:t>Georgetown, DE 19947</w:t>
            </w:r>
          </w:p>
        </w:tc>
        <w:tc>
          <w:tcPr>
            <w:tcW w:w="1575" w:type="dxa"/>
            <w:shd w:val="clear" w:color="auto" w:fill="auto"/>
            <w:vAlign w:val="center"/>
          </w:tcPr>
          <w:p w14:paraId="419880F2" w14:textId="77777777" w:rsidR="00866EF6" w:rsidRPr="00616F0B" w:rsidRDefault="00866EF6" w:rsidP="00866EF6">
            <w:pPr>
              <w:pStyle w:val="TableParagraph"/>
              <w:ind w:left="0"/>
              <w:rPr>
                <w:rFonts w:ascii="Arial" w:hAnsi="Arial" w:cs="Arial"/>
                <w:sz w:val="18"/>
                <w:szCs w:val="18"/>
              </w:rPr>
            </w:pPr>
          </w:p>
        </w:tc>
      </w:tr>
      <w:tr w:rsidR="00866EF6" w:rsidRPr="00341151" w14:paraId="59A88478" w14:textId="77777777" w:rsidTr="00CC34E6">
        <w:trPr>
          <w:trHeight w:val="435"/>
        </w:trPr>
        <w:tc>
          <w:tcPr>
            <w:tcW w:w="4005" w:type="dxa"/>
            <w:shd w:val="clear" w:color="auto" w:fill="FFFFFF"/>
          </w:tcPr>
          <w:p w14:paraId="5B8C1DCE" w14:textId="77777777" w:rsidR="00866EF6" w:rsidRDefault="00866EF6" w:rsidP="00866EF6">
            <w:pPr>
              <w:pStyle w:val="TableParagraph"/>
              <w:ind w:left="0"/>
              <w:rPr>
                <w:rFonts w:ascii="Arial" w:hAnsi="Arial" w:cs="Arial"/>
                <w:sz w:val="18"/>
                <w:szCs w:val="18"/>
              </w:rPr>
            </w:pPr>
            <w:r w:rsidRPr="009347E9">
              <w:rPr>
                <w:rFonts w:ascii="Arial" w:hAnsi="Arial" w:cs="Arial"/>
                <w:sz w:val="18"/>
                <w:szCs w:val="18"/>
              </w:rPr>
              <w:t xml:space="preserve">Justice of the Peace Court </w:t>
            </w:r>
            <w:r>
              <w:rPr>
                <w:rFonts w:ascii="Arial" w:hAnsi="Arial" w:cs="Arial"/>
                <w:sz w:val="18"/>
                <w:szCs w:val="18"/>
              </w:rPr>
              <w:t>20</w:t>
            </w:r>
          </w:p>
          <w:p w14:paraId="296045DF" w14:textId="77777777" w:rsidR="007362C9" w:rsidRDefault="007362C9" w:rsidP="00866EF6">
            <w:pPr>
              <w:pStyle w:val="TableParagraph"/>
              <w:ind w:left="0"/>
              <w:rPr>
                <w:rFonts w:ascii="Arial" w:hAnsi="Arial" w:cs="Arial"/>
                <w:sz w:val="18"/>
                <w:szCs w:val="18"/>
              </w:rPr>
            </w:pPr>
            <w:r>
              <w:rPr>
                <w:rFonts w:ascii="Arial" w:hAnsi="Arial" w:cs="Arial"/>
                <w:sz w:val="18"/>
                <w:szCs w:val="18"/>
              </w:rPr>
              <w:t>Public Safety Building</w:t>
            </w:r>
          </w:p>
          <w:p w14:paraId="6D655446" w14:textId="77777777" w:rsidR="007362C9" w:rsidRDefault="007362C9" w:rsidP="00866EF6">
            <w:pPr>
              <w:pStyle w:val="TableParagraph"/>
              <w:ind w:left="0"/>
              <w:rPr>
                <w:rFonts w:ascii="Arial" w:hAnsi="Arial" w:cs="Arial"/>
                <w:sz w:val="18"/>
                <w:szCs w:val="18"/>
              </w:rPr>
            </w:pPr>
            <w:r>
              <w:rPr>
                <w:rFonts w:ascii="Arial" w:hAnsi="Arial" w:cs="Arial"/>
                <w:sz w:val="18"/>
                <w:szCs w:val="18"/>
              </w:rPr>
              <w:t>300 N. Walnut St.</w:t>
            </w:r>
          </w:p>
          <w:p w14:paraId="635F0095" w14:textId="77777777" w:rsidR="007362C9" w:rsidRDefault="007362C9" w:rsidP="00866EF6">
            <w:pPr>
              <w:pStyle w:val="TableParagraph"/>
              <w:ind w:left="0"/>
              <w:rPr>
                <w:rFonts w:ascii="Arial" w:hAnsi="Arial" w:cs="Arial"/>
                <w:sz w:val="18"/>
                <w:szCs w:val="18"/>
              </w:rPr>
            </w:pPr>
            <w:r>
              <w:rPr>
                <w:rFonts w:ascii="Arial" w:hAnsi="Arial" w:cs="Arial"/>
                <w:sz w:val="18"/>
                <w:szCs w:val="18"/>
              </w:rPr>
              <w:t>Wilmington, DE 19801</w:t>
            </w:r>
          </w:p>
        </w:tc>
        <w:tc>
          <w:tcPr>
            <w:tcW w:w="1575" w:type="dxa"/>
            <w:shd w:val="clear" w:color="auto" w:fill="auto"/>
            <w:vAlign w:val="center"/>
          </w:tcPr>
          <w:p w14:paraId="4EA63769" w14:textId="77777777" w:rsidR="00866EF6" w:rsidRPr="00616F0B" w:rsidRDefault="00866EF6" w:rsidP="00866EF6">
            <w:pPr>
              <w:pStyle w:val="TableParagraph"/>
              <w:ind w:left="0"/>
              <w:rPr>
                <w:rFonts w:ascii="Arial" w:hAnsi="Arial" w:cs="Arial"/>
                <w:sz w:val="18"/>
                <w:szCs w:val="18"/>
              </w:rPr>
            </w:pPr>
          </w:p>
        </w:tc>
      </w:tr>
      <w:tr w:rsidR="00CE32A7" w:rsidRPr="00341151" w14:paraId="757598EC" w14:textId="77777777" w:rsidTr="00CE32A7">
        <w:trPr>
          <w:trHeight w:val="435"/>
        </w:trPr>
        <w:tc>
          <w:tcPr>
            <w:tcW w:w="4005" w:type="dxa"/>
            <w:shd w:val="clear" w:color="auto" w:fill="FFFFFF"/>
            <w:vAlign w:val="center"/>
          </w:tcPr>
          <w:p w14:paraId="30EEDAD1" w14:textId="77777777" w:rsidR="00CE32A7" w:rsidRDefault="00CE32A7" w:rsidP="00CE32A7">
            <w:pPr>
              <w:pStyle w:val="TableParagraph"/>
              <w:ind w:left="0"/>
              <w:rPr>
                <w:rFonts w:ascii="Arial" w:hAnsi="Arial" w:cs="Arial"/>
                <w:sz w:val="18"/>
                <w:szCs w:val="18"/>
              </w:rPr>
            </w:pPr>
            <w:r>
              <w:rPr>
                <w:rFonts w:ascii="Arial" w:hAnsi="Arial" w:cs="Arial"/>
                <w:sz w:val="18"/>
                <w:szCs w:val="18"/>
              </w:rPr>
              <w:t>Kent County Elections</w:t>
            </w:r>
          </w:p>
          <w:p w14:paraId="564D5AFE"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 xml:space="preserve">100 Enterprise Pl </w:t>
            </w:r>
            <w:proofErr w:type="spellStart"/>
            <w:r w:rsidRPr="003B5D78">
              <w:rPr>
                <w:rFonts w:ascii="Arial" w:hAnsi="Arial" w:cs="Arial"/>
                <w:sz w:val="18"/>
                <w:szCs w:val="18"/>
              </w:rPr>
              <w:t>Ste</w:t>
            </w:r>
            <w:proofErr w:type="spellEnd"/>
            <w:r w:rsidRPr="003B5D78">
              <w:rPr>
                <w:rFonts w:ascii="Arial" w:hAnsi="Arial" w:cs="Arial"/>
                <w:sz w:val="18"/>
                <w:szCs w:val="18"/>
              </w:rPr>
              <w:t xml:space="preserve"> 5</w:t>
            </w:r>
          </w:p>
          <w:p w14:paraId="70A89EA8"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Dover DE 19904</w:t>
            </w:r>
          </w:p>
        </w:tc>
        <w:tc>
          <w:tcPr>
            <w:tcW w:w="1575" w:type="dxa"/>
            <w:shd w:val="clear" w:color="auto" w:fill="auto"/>
            <w:vAlign w:val="center"/>
          </w:tcPr>
          <w:p w14:paraId="0FDB91D0" w14:textId="77777777" w:rsidR="00CE32A7" w:rsidRPr="00616F0B" w:rsidRDefault="00CE32A7" w:rsidP="00CE32A7">
            <w:pPr>
              <w:pStyle w:val="TableParagraph"/>
              <w:ind w:left="0"/>
              <w:rPr>
                <w:rFonts w:ascii="Arial" w:hAnsi="Arial" w:cs="Arial"/>
                <w:sz w:val="18"/>
                <w:szCs w:val="18"/>
              </w:rPr>
            </w:pPr>
          </w:p>
        </w:tc>
      </w:tr>
      <w:tr w:rsidR="00CE32A7" w:rsidRPr="00341151" w14:paraId="521F8693" w14:textId="77777777" w:rsidTr="00CE32A7">
        <w:trPr>
          <w:trHeight w:val="435"/>
        </w:trPr>
        <w:tc>
          <w:tcPr>
            <w:tcW w:w="4005" w:type="dxa"/>
            <w:shd w:val="clear" w:color="auto" w:fill="FFFFFF"/>
            <w:vAlign w:val="center"/>
          </w:tcPr>
          <w:p w14:paraId="3B789710" w14:textId="77777777" w:rsidR="00CE32A7" w:rsidRDefault="00CE32A7" w:rsidP="00CE32A7">
            <w:pPr>
              <w:pStyle w:val="TableParagraph"/>
              <w:ind w:left="0"/>
              <w:rPr>
                <w:rFonts w:ascii="Arial" w:hAnsi="Arial" w:cs="Arial"/>
                <w:sz w:val="18"/>
                <w:szCs w:val="18"/>
              </w:rPr>
            </w:pPr>
            <w:r>
              <w:rPr>
                <w:rFonts w:ascii="Arial" w:hAnsi="Arial" w:cs="Arial"/>
                <w:sz w:val="18"/>
                <w:szCs w:val="18"/>
              </w:rPr>
              <w:t>Department of Labor</w:t>
            </w:r>
          </w:p>
          <w:p w14:paraId="1C480812" w14:textId="77777777" w:rsidR="00CE32A7" w:rsidRDefault="00CE32A7" w:rsidP="00CE32A7">
            <w:pPr>
              <w:pStyle w:val="TableParagraph"/>
              <w:ind w:left="0"/>
              <w:rPr>
                <w:rFonts w:ascii="Arial" w:hAnsi="Arial" w:cs="Arial"/>
                <w:sz w:val="18"/>
                <w:szCs w:val="18"/>
              </w:rPr>
            </w:pPr>
            <w:r w:rsidRPr="003B5D78">
              <w:rPr>
                <w:rFonts w:ascii="Arial" w:hAnsi="Arial" w:cs="Arial"/>
                <w:sz w:val="18"/>
                <w:szCs w:val="18"/>
              </w:rPr>
              <w:t>4425 North Market Street</w:t>
            </w:r>
          </w:p>
          <w:p w14:paraId="126A6A6A" w14:textId="77777777" w:rsidR="00CE32A7" w:rsidRPr="00D92A65" w:rsidRDefault="00CE32A7" w:rsidP="00CE32A7">
            <w:pPr>
              <w:pStyle w:val="TableParagraph"/>
              <w:ind w:left="0"/>
              <w:rPr>
                <w:rFonts w:ascii="Arial" w:hAnsi="Arial" w:cs="Arial"/>
                <w:sz w:val="18"/>
                <w:szCs w:val="18"/>
              </w:rPr>
            </w:pPr>
            <w:r w:rsidRPr="003B5D78">
              <w:rPr>
                <w:rFonts w:ascii="Arial" w:hAnsi="Arial" w:cs="Arial"/>
                <w:sz w:val="18"/>
                <w:szCs w:val="18"/>
              </w:rPr>
              <w:t>Wilmington, DE 19802</w:t>
            </w:r>
          </w:p>
        </w:tc>
        <w:tc>
          <w:tcPr>
            <w:tcW w:w="1575" w:type="dxa"/>
            <w:shd w:val="clear" w:color="auto" w:fill="auto"/>
            <w:vAlign w:val="center"/>
          </w:tcPr>
          <w:p w14:paraId="1781301D" w14:textId="77777777" w:rsidR="00CE32A7" w:rsidRPr="00616F0B" w:rsidRDefault="00CE32A7" w:rsidP="00CE32A7">
            <w:pPr>
              <w:pStyle w:val="TableParagraph"/>
              <w:ind w:left="0"/>
              <w:rPr>
                <w:rFonts w:ascii="Arial" w:hAnsi="Arial" w:cs="Arial"/>
                <w:sz w:val="18"/>
                <w:szCs w:val="18"/>
              </w:rPr>
            </w:pPr>
          </w:p>
        </w:tc>
      </w:tr>
      <w:tr w:rsidR="00CE32A7" w:rsidRPr="00341151" w14:paraId="70F0D196" w14:textId="77777777" w:rsidTr="00CE32A7">
        <w:trPr>
          <w:trHeight w:val="435"/>
        </w:trPr>
        <w:tc>
          <w:tcPr>
            <w:tcW w:w="4005" w:type="dxa"/>
            <w:shd w:val="clear" w:color="auto" w:fill="FFFFFF"/>
            <w:vAlign w:val="center"/>
          </w:tcPr>
          <w:p w14:paraId="1E7A9E87" w14:textId="77777777" w:rsidR="00CE32A7" w:rsidRDefault="00CE32A7" w:rsidP="00CE32A7">
            <w:pPr>
              <w:pStyle w:val="TableParagraph"/>
              <w:ind w:left="0"/>
              <w:rPr>
                <w:rFonts w:ascii="Arial" w:hAnsi="Arial" w:cs="Arial"/>
                <w:sz w:val="18"/>
                <w:szCs w:val="18"/>
              </w:rPr>
            </w:pPr>
            <w:r>
              <w:rPr>
                <w:rFonts w:ascii="Arial" w:hAnsi="Arial" w:cs="Arial"/>
                <w:sz w:val="18"/>
                <w:szCs w:val="18"/>
              </w:rPr>
              <w:t xml:space="preserve">Legislative Council </w:t>
            </w:r>
          </w:p>
          <w:p w14:paraId="612074D0"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411 Legislative Avenue</w:t>
            </w:r>
          </w:p>
          <w:p w14:paraId="352E2C40"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DE 19901</w:t>
            </w:r>
          </w:p>
        </w:tc>
        <w:tc>
          <w:tcPr>
            <w:tcW w:w="1575" w:type="dxa"/>
            <w:shd w:val="clear" w:color="auto" w:fill="auto"/>
            <w:vAlign w:val="center"/>
          </w:tcPr>
          <w:p w14:paraId="4764612D" w14:textId="77777777" w:rsidR="00CE32A7" w:rsidRPr="00616F0B" w:rsidRDefault="00CE32A7" w:rsidP="00CE32A7">
            <w:pPr>
              <w:pStyle w:val="TableParagraph"/>
              <w:ind w:left="0"/>
              <w:rPr>
                <w:rFonts w:ascii="Arial" w:hAnsi="Arial" w:cs="Arial"/>
                <w:sz w:val="18"/>
                <w:szCs w:val="18"/>
              </w:rPr>
            </w:pPr>
          </w:p>
        </w:tc>
      </w:tr>
      <w:tr w:rsidR="00CE32A7" w:rsidRPr="00341151" w14:paraId="52ECA756" w14:textId="77777777" w:rsidTr="00CE32A7">
        <w:trPr>
          <w:trHeight w:val="435"/>
        </w:trPr>
        <w:tc>
          <w:tcPr>
            <w:tcW w:w="4005" w:type="dxa"/>
            <w:shd w:val="clear" w:color="auto" w:fill="FFFFFF"/>
            <w:vAlign w:val="center"/>
          </w:tcPr>
          <w:p w14:paraId="61A56A51" w14:textId="77777777" w:rsidR="00CE32A7" w:rsidRDefault="00CE32A7" w:rsidP="00CE32A7">
            <w:pPr>
              <w:pStyle w:val="TableParagraph"/>
              <w:ind w:left="0"/>
              <w:rPr>
                <w:rFonts w:ascii="Arial" w:hAnsi="Arial" w:cs="Arial"/>
                <w:sz w:val="18"/>
                <w:szCs w:val="18"/>
              </w:rPr>
            </w:pPr>
            <w:r>
              <w:rPr>
                <w:rFonts w:ascii="Arial" w:hAnsi="Arial" w:cs="Arial"/>
                <w:sz w:val="18"/>
                <w:szCs w:val="18"/>
              </w:rPr>
              <w:t>Long Term Care Residents Protection</w:t>
            </w:r>
          </w:p>
          <w:p w14:paraId="21EC84F6"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3 Mill Road, Suite 308</w:t>
            </w:r>
          </w:p>
          <w:p w14:paraId="09B59B8D"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Wilmington, DE 19806-2164</w:t>
            </w:r>
          </w:p>
        </w:tc>
        <w:tc>
          <w:tcPr>
            <w:tcW w:w="1575" w:type="dxa"/>
            <w:shd w:val="clear" w:color="auto" w:fill="auto"/>
            <w:vAlign w:val="center"/>
          </w:tcPr>
          <w:p w14:paraId="171D1CF5" w14:textId="77777777" w:rsidR="00CE32A7" w:rsidRPr="00616F0B" w:rsidRDefault="00CE32A7" w:rsidP="00CE32A7">
            <w:pPr>
              <w:pStyle w:val="TableParagraph"/>
              <w:ind w:left="0"/>
              <w:rPr>
                <w:rFonts w:ascii="Arial" w:hAnsi="Arial" w:cs="Arial"/>
                <w:sz w:val="18"/>
                <w:szCs w:val="18"/>
              </w:rPr>
            </w:pPr>
          </w:p>
        </w:tc>
      </w:tr>
      <w:tr w:rsidR="00CE32A7" w:rsidRPr="00341151" w14:paraId="056066D4" w14:textId="77777777" w:rsidTr="00CE32A7">
        <w:trPr>
          <w:trHeight w:val="435"/>
        </w:trPr>
        <w:tc>
          <w:tcPr>
            <w:tcW w:w="4005" w:type="dxa"/>
            <w:shd w:val="clear" w:color="auto" w:fill="FFFFFF"/>
            <w:vAlign w:val="center"/>
          </w:tcPr>
          <w:p w14:paraId="5BDC8141" w14:textId="77777777" w:rsidR="00CE32A7" w:rsidRDefault="00CE32A7" w:rsidP="00CE32A7">
            <w:pPr>
              <w:pStyle w:val="TableParagraph"/>
              <w:ind w:left="0"/>
              <w:rPr>
                <w:rFonts w:ascii="Arial" w:hAnsi="Arial" w:cs="Arial"/>
                <w:sz w:val="18"/>
                <w:szCs w:val="18"/>
              </w:rPr>
            </w:pPr>
            <w:r>
              <w:rPr>
                <w:rFonts w:ascii="Arial" w:hAnsi="Arial" w:cs="Arial"/>
                <w:sz w:val="18"/>
                <w:szCs w:val="18"/>
              </w:rPr>
              <w:t>Medicaid and Medical Assistance</w:t>
            </w:r>
          </w:p>
          <w:p w14:paraId="355793D9"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DHSS Herman Holloway Campus, Lewis Building, 1901 N. DuPont Highway</w:t>
            </w:r>
          </w:p>
          <w:p w14:paraId="7BCFC19F"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6C43F023" w14:textId="77777777" w:rsidR="00CE32A7" w:rsidRPr="00616F0B" w:rsidRDefault="00CE32A7" w:rsidP="00CE32A7">
            <w:pPr>
              <w:pStyle w:val="TableParagraph"/>
              <w:ind w:left="0"/>
              <w:rPr>
                <w:rFonts w:ascii="Arial" w:hAnsi="Arial" w:cs="Arial"/>
                <w:sz w:val="18"/>
                <w:szCs w:val="18"/>
              </w:rPr>
            </w:pPr>
          </w:p>
        </w:tc>
      </w:tr>
      <w:tr w:rsidR="00CE32A7" w:rsidRPr="00341151" w14:paraId="334DD60A" w14:textId="77777777" w:rsidTr="00CE32A7">
        <w:trPr>
          <w:trHeight w:val="435"/>
        </w:trPr>
        <w:tc>
          <w:tcPr>
            <w:tcW w:w="4005" w:type="dxa"/>
            <w:shd w:val="clear" w:color="auto" w:fill="FFFFFF"/>
            <w:vAlign w:val="center"/>
          </w:tcPr>
          <w:p w14:paraId="5E558D15" w14:textId="77777777" w:rsidR="00CE32A7" w:rsidRDefault="00CE32A7" w:rsidP="00CE32A7">
            <w:pPr>
              <w:pStyle w:val="TableParagraph"/>
              <w:ind w:left="0"/>
              <w:rPr>
                <w:rFonts w:ascii="Arial" w:hAnsi="Arial" w:cs="Arial"/>
                <w:sz w:val="18"/>
                <w:szCs w:val="18"/>
              </w:rPr>
            </w:pPr>
            <w:r>
              <w:rPr>
                <w:rFonts w:ascii="Arial" w:hAnsi="Arial" w:cs="Arial"/>
                <w:sz w:val="18"/>
                <w:szCs w:val="18"/>
              </w:rPr>
              <w:t xml:space="preserve">Office of the Attorney General </w:t>
            </w:r>
          </w:p>
          <w:p w14:paraId="13125611"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Delaware Department of Justice, Carvel State Building, 820 N. French St.</w:t>
            </w:r>
          </w:p>
          <w:p w14:paraId="417C922F"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Wilmington, DE 19801</w:t>
            </w:r>
          </w:p>
        </w:tc>
        <w:tc>
          <w:tcPr>
            <w:tcW w:w="1575" w:type="dxa"/>
            <w:shd w:val="clear" w:color="auto" w:fill="auto"/>
            <w:vAlign w:val="center"/>
          </w:tcPr>
          <w:p w14:paraId="6300DDE7" w14:textId="77777777" w:rsidR="00CE32A7" w:rsidRPr="00616F0B" w:rsidRDefault="00CE32A7" w:rsidP="00CE32A7">
            <w:pPr>
              <w:pStyle w:val="TableParagraph"/>
              <w:ind w:left="0"/>
              <w:rPr>
                <w:rFonts w:ascii="Arial" w:hAnsi="Arial" w:cs="Arial"/>
                <w:sz w:val="18"/>
                <w:szCs w:val="18"/>
              </w:rPr>
            </w:pPr>
          </w:p>
        </w:tc>
      </w:tr>
      <w:tr w:rsidR="00CE32A7" w:rsidRPr="00341151" w14:paraId="22D7A70F" w14:textId="77777777" w:rsidTr="00CE32A7">
        <w:trPr>
          <w:trHeight w:val="435"/>
        </w:trPr>
        <w:tc>
          <w:tcPr>
            <w:tcW w:w="4005" w:type="dxa"/>
            <w:shd w:val="clear" w:color="auto" w:fill="FFFFFF"/>
            <w:vAlign w:val="center"/>
          </w:tcPr>
          <w:p w14:paraId="4C18FF6B" w14:textId="77777777" w:rsidR="00CE32A7" w:rsidRDefault="00CE32A7" w:rsidP="00CE32A7">
            <w:pPr>
              <w:pStyle w:val="TableParagraph"/>
              <w:ind w:left="0"/>
              <w:rPr>
                <w:rFonts w:ascii="Arial" w:hAnsi="Arial" w:cs="Arial"/>
                <w:sz w:val="18"/>
                <w:szCs w:val="18"/>
              </w:rPr>
            </w:pPr>
            <w:r>
              <w:rPr>
                <w:rFonts w:ascii="Arial" w:hAnsi="Arial" w:cs="Arial"/>
                <w:sz w:val="18"/>
                <w:szCs w:val="18"/>
              </w:rPr>
              <w:t>Office of the Secretary of Finance</w:t>
            </w:r>
          </w:p>
          <w:p w14:paraId="760B9824" w14:textId="77777777" w:rsidR="00CE32A7" w:rsidRPr="00CC34E6" w:rsidRDefault="009963B7" w:rsidP="00CE32A7">
            <w:pPr>
              <w:pStyle w:val="TableParagraph"/>
              <w:ind w:left="0"/>
              <w:rPr>
                <w:rFonts w:ascii="Arial" w:hAnsi="Arial" w:cs="Arial"/>
                <w:sz w:val="18"/>
                <w:szCs w:val="18"/>
              </w:rPr>
            </w:pPr>
            <w:r w:rsidRPr="00CC34E6">
              <w:rPr>
                <w:rFonts w:ascii="Arial" w:hAnsi="Arial" w:cs="Arial"/>
                <w:sz w:val="18"/>
                <w:szCs w:val="18"/>
              </w:rPr>
              <w:t>Carvel State Office Building</w:t>
            </w:r>
          </w:p>
          <w:p w14:paraId="35D888FA" w14:textId="77777777" w:rsidR="009963B7" w:rsidRPr="00CC34E6" w:rsidRDefault="009963B7" w:rsidP="00CE32A7">
            <w:pPr>
              <w:pStyle w:val="TableParagraph"/>
              <w:ind w:left="0"/>
              <w:rPr>
                <w:rFonts w:ascii="Arial" w:hAnsi="Arial" w:cs="Arial"/>
                <w:sz w:val="18"/>
                <w:szCs w:val="18"/>
              </w:rPr>
            </w:pPr>
            <w:r w:rsidRPr="00CC34E6">
              <w:rPr>
                <w:rFonts w:ascii="Arial" w:hAnsi="Arial" w:cs="Arial"/>
                <w:sz w:val="18"/>
                <w:szCs w:val="18"/>
              </w:rPr>
              <w:t>820 N. French St., 8</w:t>
            </w:r>
            <w:r w:rsidRPr="00CC34E6">
              <w:rPr>
                <w:rFonts w:ascii="Arial" w:hAnsi="Arial" w:cs="Arial"/>
                <w:sz w:val="18"/>
                <w:szCs w:val="18"/>
                <w:vertAlign w:val="superscript"/>
              </w:rPr>
              <w:t>TH</w:t>
            </w:r>
            <w:r w:rsidRPr="00CC34E6">
              <w:rPr>
                <w:rFonts w:ascii="Arial" w:hAnsi="Arial" w:cs="Arial"/>
                <w:sz w:val="18"/>
                <w:szCs w:val="18"/>
              </w:rPr>
              <w:t xml:space="preserve"> Floor</w:t>
            </w:r>
          </w:p>
          <w:p w14:paraId="4F0BA7E0" w14:textId="77777777" w:rsidR="00CE32A7" w:rsidRPr="00D92A65" w:rsidRDefault="009963B7" w:rsidP="00CE32A7">
            <w:pPr>
              <w:pStyle w:val="TableParagraph"/>
              <w:ind w:left="0"/>
              <w:rPr>
                <w:rFonts w:ascii="Arial" w:hAnsi="Arial" w:cs="Arial"/>
                <w:sz w:val="18"/>
                <w:szCs w:val="18"/>
              </w:rPr>
            </w:pPr>
            <w:r w:rsidRPr="00CC34E6">
              <w:rPr>
                <w:rFonts w:ascii="Arial" w:hAnsi="Arial" w:cs="Arial"/>
                <w:sz w:val="18"/>
                <w:szCs w:val="18"/>
              </w:rPr>
              <w:t>Wilmington, DE 19801</w:t>
            </w:r>
          </w:p>
        </w:tc>
        <w:tc>
          <w:tcPr>
            <w:tcW w:w="1575" w:type="dxa"/>
            <w:shd w:val="clear" w:color="auto" w:fill="auto"/>
            <w:vAlign w:val="center"/>
          </w:tcPr>
          <w:p w14:paraId="0D341A0A" w14:textId="77777777" w:rsidR="00CE32A7" w:rsidRPr="00616F0B" w:rsidRDefault="00CE32A7" w:rsidP="00CE32A7">
            <w:pPr>
              <w:pStyle w:val="TableParagraph"/>
              <w:ind w:left="0"/>
              <w:rPr>
                <w:rFonts w:ascii="Arial" w:hAnsi="Arial" w:cs="Arial"/>
                <w:sz w:val="18"/>
                <w:szCs w:val="18"/>
              </w:rPr>
            </w:pPr>
          </w:p>
        </w:tc>
      </w:tr>
      <w:tr w:rsidR="00CE32A7" w:rsidRPr="00341151" w14:paraId="2BAB2B7F" w14:textId="77777777" w:rsidTr="00CE32A7">
        <w:trPr>
          <w:trHeight w:val="435"/>
        </w:trPr>
        <w:tc>
          <w:tcPr>
            <w:tcW w:w="4005" w:type="dxa"/>
            <w:shd w:val="clear" w:color="auto" w:fill="FFFFFF"/>
            <w:vAlign w:val="center"/>
          </w:tcPr>
          <w:p w14:paraId="4630B17B" w14:textId="77777777" w:rsidR="00CE32A7" w:rsidRDefault="00CE32A7" w:rsidP="00CE32A7">
            <w:pPr>
              <w:pStyle w:val="TableParagraph"/>
              <w:ind w:left="0"/>
              <w:rPr>
                <w:rFonts w:ascii="Arial" w:hAnsi="Arial" w:cs="Arial"/>
                <w:sz w:val="18"/>
                <w:szCs w:val="18"/>
              </w:rPr>
            </w:pPr>
            <w:r>
              <w:rPr>
                <w:rFonts w:ascii="Arial" w:hAnsi="Arial" w:cs="Arial"/>
                <w:sz w:val="18"/>
                <w:szCs w:val="18"/>
              </w:rPr>
              <w:t>Office of the Secretary of Health and Social Services</w:t>
            </w:r>
          </w:p>
          <w:p w14:paraId="55159D04"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Main Building, 1901 N. DuPont Highway</w:t>
            </w:r>
          </w:p>
          <w:p w14:paraId="39357A6B"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53A63E26" w14:textId="77777777" w:rsidR="00CE32A7" w:rsidRPr="00616F0B" w:rsidRDefault="00CE32A7" w:rsidP="00CE32A7">
            <w:pPr>
              <w:pStyle w:val="TableParagraph"/>
              <w:ind w:left="0"/>
              <w:rPr>
                <w:rFonts w:ascii="Arial" w:hAnsi="Arial" w:cs="Arial"/>
                <w:sz w:val="18"/>
                <w:szCs w:val="18"/>
              </w:rPr>
            </w:pPr>
          </w:p>
        </w:tc>
      </w:tr>
      <w:tr w:rsidR="00CE32A7" w:rsidRPr="00341151" w14:paraId="60A98159" w14:textId="77777777" w:rsidTr="00CE32A7">
        <w:trPr>
          <w:trHeight w:val="435"/>
        </w:trPr>
        <w:tc>
          <w:tcPr>
            <w:tcW w:w="4005" w:type="dxa"/>
            <w:shd w:val="clear" w:color="auto" w:fill="FFFFFF"/>
            <w:vAlign w:val="center"/>
          </w:tcPr>
          <w:p w14:paraId="60B06BFF" w14:textId="77777777" w:rsidR="00CE32A7" w:rsidRDefault="00CE32A7" w:rsidP="00CE32A7">
            <w:pPr>
              <w:pStyle w:val="TableParagraph"/>
              <w:ind w:left="0"/>
              <w:rPr>
                <w:rFonts w:ascii="Arial" w:hAnsi="Arial" w:cs="Arial"/>
                <w:sz w:val="18"/>
                <w:szCs w:val="18"/>
              </w:rPr>
            </w:pPr>
            <w:r>
              <w:rPr>
                <w:rFonts w:ascii="Arial" w:hAnsi="Arial" w:cs="Arial"/>
                <w:sz w:val="18"/>
                <w:szCs w:val="18"/>
              </w:rPr>
              <w:t>Office of the State Court Administrator</w:t>
            </w:r>
          </w:p>
          <w:p w14:paraId="6B2BECB3"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The Renaissance Centre, 405 N. King Street, Suite 507</w:t>
            </w:r>
          </w:p>
          <w:p w14:paraId="0F2491C8"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Wilmington, DE 19801</w:t>
            </w:r>
          </w:p>
        </w:tc>
        <w:tc>
          <w:tcPr>
            <w:tcW w:w="1575" w:type="dxa"/>
            <w:shd w:val="clear" w:color="auto" w:fill="auto"/>
            <w:vAlign w:val="center"/>
          </w:tcPr>
          <w:p w14:paraId="08F957C9" w14:textId="77777777" w:rsidR="00CE32A7" w:rsidRPr="00616F0B" w:rsidRDefault="00CE32A7" w:rsidP="00CE32A7">
            <w:pPr>
              <w:pStyle w:val="TableParagraph"/>
              <w:ind w:left="0"/>
              <w:rPr>
                <w:rFonts w:ascii="Arial" w:hAnsi="Arial" w:cs="Arial"/>
                <w:sz w:val="18"/>
                <w:szCs w:val="18"/>
              </w:rPr>
            </w:pPr>
          </w:p>
        </w:tc>
      </w:tr>
      <w:tr w:rsidR="00CE32A7" w:rsidRPr="00341151" w14:paraId="63CCD9C9" w14:textId="77777777" w:rsidTr="00CE32A7">
        <w:trPr>
          <w:trHeight w:val="435"/>
        </w:trPr>
        <w:tc>
          <w:tcPr>
            <w:tcW w:w="4005" w:type="dxa"/>
            <w:shd w:val="clear" w:color="auto" w:fill="FFFFFF"/>
            <w:vAlign w:val="center"/>
          </w:tcPr>
          <w:p w14:paraId="61D43089" w14:textId="77777777" w:rsidR="00CE32A7" w:rsidRDefault="00CE32A7" w:rsidP="00CE32A7">
            <w:pPr>
              <w:pStyle w:val="TableParagraph"/>
              <w:ind w:left="0"/>
              <w:rPr>
                <w:rFonts w:ascii="Arial" w:hAnsi="Arial" w:cs="Arial"/>
                <w:sz w:val="18"/>
                <w:szCs w:val="18"/>
              </w:rPr>
            </w:pPr>
            <w:r>
              <w:rPr>
                <w:rFonts w:ascii="Arial" w:hAnsi="Arial" w:cs="Arial"/>
                <w:sz w:val="18"/>
                <w:szCs w:val="18"/>
              </w:rPr>
              <w:t>Office of the State Fire Marshal</w:t>
            </w:r>
          </w:p>
          <w:p w14:paraId="2456E59E"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1537 Chestnut Grove Road</w:t>
            </w:r>
          </w:p>
          <w:p w14:paraId="34B39CD1"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DE 19904-1544</w:t>
            </w:r>
          </w:p>
        </w:tc>
        <w:tc>
          <w:tcPr>
            <w:tcW w:w="1575" w:type="dxa"/>
            <w:shd w:val="clear" w:color="auto" w:fill="auto"/>
            <w:vAlign w:val="center"/>
          </w:tcPr>
          <w:p w14:paraId="6993BD2A" w14:textId="77777777" w:rsidR="00CE32A7" w:rsidRPr="00616F0B" w:rsidRDefault="00CE32A7" w:rsidP="00CE32A7">
            <w:pPr>
              <w:pStyle w:val="TableParagraph"/>
              <w:ind w:left="0"/>
              <w:rPr>
                <w:rFonts w:ascii="Arial" w:hAnsi="Arial" w:cs="Arial"/>
                <w:sz w:val="18"/>
                <w:szCs w:val="18"/>
              </w:rPr>
            </w:pPr>
          </w:p>
        </w:tc>
      </w:tr>
      <w:tr w:rsidR="00CE32A7" w:rsidRPr="00341151" w14:paraId="359FE38E" w14:textId="77777777" w:rsidTr="00CE32A7">
        <w:trPr>
          <w:trHeight w:val="435"/>
        </w:trPr>
        <w:tc>
          <w:tcPr>
            <w:tcW w:w="4005" w:type="dxa"/>
            <w:shd w:val="clear" w:color="auto" w:fill="FFFFFF"/>
            <w:vAlign w:val="center"/>
          </w:tcPr>
          <w:p w14:paraId="44CBD294" w14:textId="77777777" w:rsidR="00CE32A7" w:rsidRDefault="00CE32A7" w:rsidP="00CE32A7">
            <w:pPr>
              <w:pStyle w:val="TableParagraph"/>
              <w:ind w:left="0"/>
              <w:rPr>
                <w:rFonts w:ascii="Arial" w:hAnsi="Arial" w:cs="Arial"/>
                <w:sz w:val="18"/>
                <w:szCs w:val="18"/>
              </w:rPr>
            </w:pPr>
            <w:r>
              <w:rPr>
                <w:rFonts w:ascii="Arial" w:hAnsi="Arial" w:cs="Arial"/>
                <w:sz w:val="18"/>
                <w:szCs w:val="18"/>
              </w:rPr>
              <w:t>Parks and Recreation</w:t>
            </w:r>
          </w:p>
          <w:p w14:paraId="5A5A5A72" w14:textId="77777777" w:rsidR="00934759" w:rsidRDefault="00934759" w:rsidP="00CE32A7">
            <w:pPr>
              <w:pStyle w:val="TableParagraph"/>
              <w:ind w:left="0"/>
              <w:rPr>
                <w:rFonts w:ascii="Arial" w:hAnsi="Arial" w:cs="Arial"/>
                <w:sz w:val="18"/>
                <w:szCs w:val="18"/>
              </w:rPr>
            </w:pPr>
            <w:r>
              <w:rPr>
                <w:rFonts w:ascii="Arial" w:hAnsi="Arial" w:cs="Arial"/>
                <w:sz w:val="18"/>
                <w:szCs w:val="18"/>
              </w:rPr>
              <w:t xml:space="preserve">89 Kings Highway </w:t>
            </w:r>
          </w:p>
          <w:p w14:paraId="574CA9B8" w14:textId="77777777" w:rsidR="00CE32A7" w:rsidRPr="00D92A65" w:rsidRDefault="00934759" w:rsidP="00CE32A7">
            <w:pPr>
              <w:pStyle w:val="TableParagraph"/>
              <w:ind w:left="0"/>
              <w:rPr>
                <w:rFonts w:ascii="Arial" w:hAnsi="Arial" w:cs="Arial"/>
                <w:sz w:val="18"/>
                <w:szCs w:val="18"/>
              </w:rPr>
            </w:pPr>
            <w:r w:rsidRPr="00934759">
              <w:rPr>
                <w:rFonts w:ascii="Arial" w:hAnsi="Arial" w:cs="Arial"/>
                <w:sz w:val="18"/>
                <w:szCs w:val="18"/>
              </w:rPr>
              <w:t>Dover, Delaware</w:t>
            </w:r>
            <w:r>
              <w:rPr>
                <w:rFonts w:ascii="Arial" w:hAnsi="Arial" w:cs="Arial"/>
                <w:sz w:val="18"/>
                <w:szCs w:val="18"/>
              </w:rPr>
              <w:t xml:space="preserve"> 19901</w:t>
            </w:r>
          </w:p>
        </w:tc>
        <w:tc>
          <w:tcPr>
            <w:tcW w:w="1575" w:type="dxa"/>
            <w:shd w:val="clear" w:color="auto" w:fill="auto"/>
            <w:vAlign w:val="center"/>
          </w:tcPr>
          <w:p w14:paraId="3317DDAC" w14:textId="77777777" w:rsidR="00CE32A7" w:rsidRPr="00616F0B" w:rsidRDefault="00CE32A7" w:rsidP="00CE32A7">
            <w:pPr>
              <w:pStyle w:val="TableParagraph"/>
              <w:ind w:left="0"/>
              <w:rPr>
                <w:rFonts w:ascii="Arial" w:hAnsi="Arial" w:cs="Arial"/>
                <w:sz w:val="18"/>
                <w:szCs w:val="18"/>
              </w:rPr>
            </w:pPr>
          </w:p>
        </w:tc>
      </w:tr>
      <w:tr w:rsidR="00CE32A7" w:rsidRPr="00341151" w14:paraId="398FC139" w14:textId="77777777" w:rsidTr="00CE32A7">
        <w:trPr>
          <w:trHeight w:val="435"/>
        </w:trPr>
        <w:tc>
          <w:tcPr>
            <w:tcW w:w="4005" w:type="dxa"/>
            <w:shd w:val="clear" w:color="auto" w:fill="FFFFFF"/>
            <w:vAlign w:val="center"/>
          </w:tcPr>
          <w:p w14:paraId="2CE57576" w14:textId="77777777" w:rsidR="00CE32A7" w:rsidRDefault="00CE32A7" w:rsidP="00CE32A7">
            <w:pPr>
              <w:pStyle w:val="TableParagraph"/>
              <w:ind w:left="0"/>
              <w:rPr>
                <w:rFonts w:ascii="Arial" w:hAnsi="Arial" w:cs="Arial"/>
                <w:sz w:val="18"/>
                <w:szCs w:val="18"/>
              </w:rPr>
            </w:pPr>
            <w:r>
              <w:rPr>
                <w:rFonts w:ascii="Arial" w:hAnsi="Arial" w:cs="Arial"/>
                <w:sz w:val="18"/>
                <w:szCs w:val="18"/>
              </w:rPr>
              <w:t>Safety and Homeland Security</w:t>
            </w:r>
          </w:p>
          <w:p w14:paraId="79D7EB22"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303 Transportation Circle</w:t>
            </w:r>
          </w:p>
          <w:p w14:paraId="6B646B30"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 DE 19903</w:t>
            </w:r>
          </w:p>
        </w:tc>
        <w:tc>
          <w:tcPr>
            <w:tcW w:w="1575" w:type="dxa"/>
            <w:shd w:val="clear" w:color="auto" w:fill="auto"/>
            <w:vAlign w:val="center"/>
          </w:tcPr>
          <w:p w14:paraId="067109C0" w14:textId="77777777" w:rsidR="00CE32A7" w:rsidRPr="00616F0B" w:rsidRDefault="00CE32A7" w:rsidP="00CE32A7">
            <w:pPr>
              <w:pStyle w:val="TableParagraph"/>
              <w:ind w:left="0"/>
              <w:rPr>
                <w:rFonts w:ascii="Arial" w:hAnsi="Arial" w:cs="Arial"/>
                <w:sz w:val="18"/>
                <w:szCs w:val="18"/>
              </w:rPr>
            </w:pPr>
          </w:p>
        </w:tc>
      </w:tr>
      <w:tr w:rsidR="00CE32A7" w:rsidRPr="00341151" w14:paraId="0C881CF6" w14:textId="77777777" w:rsidTr="00CE32A7">
        <w:trPr>
          <w:trHeight w:val="435"/>
        </w:trPr>
        <w:tc>
          <w:tcPr>
            <w:tcW w:w="4005" w:type="dxa"/>
            <w:shd w:val="clear" w:color="auto" w:fill="FFFFFF"/>
            <w:vAlign w:val="center"/>
          </w:tcPr>
          <w:p w14:paraId="5AF48391" w14:textId="77777777" w:rsidR="00CE32A7" w:rsidRDefault="00CE32A7" w:rsidP="00CE32A7">
            <w:pPr>
              <w:pStyle w:val="TableParagraph"/>
              <w:ind w:left="0"/>
              <w:rPr>
                <w:rFonts w:ascii="Arial" w:hAnsi="Arial" w:cs="Arial"/>
                <w:sz w:val="18"/>
                <w:szCs w:val="18"/>
              </w:rPr>
            </w:pPr>
            <w:r>
              <w:rPr>
                <w:rFonts w:ascii="Arial" w:hAnsi="Arial" w:cs="Arial"/>
                <w:sz w:val="18"/>
                <w:szCs w:val="18"/>
              </w:rPr>
              <w:t>Services for Aging and Adults with Physical Disabilities – Administration</w:t>
            </w:r>
          </w:p>
          <w:p w14:paraId="71684609"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Main Administration Building, First Floor Annex, 1901 N. DuPont Highway</w:t>
            </w:r>
          </w:p>
          <w:p w14:paraId="4853CAD8"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519998CF" w14:textId="77777777" w:rsidR="00CE32A7" w:rsidRPr="00616F0B" w:rsidRDefault="00CE32A7" w:rsidP="00CE32A7">
            <w:pPr>
              <w:pStyle w:val="TableParagraph"/>
              <w:ind w:left="0"/>
              <w:rPr>
                <w:rFonts w:ascii="Arial" w:hAnsi="Arial" w:cs="Arial"/>
                <w:sz w:val="18"/>
                <w:szCs w:val="18"/>
              </w:rPr>
            </w:pPr>
          </w:p>
        </w:tc>
      </w:tr>
      <w:tr w:rsidR="00CE32A7" w:rsidRPr="00341151" w14:paraId="729F46DE" w14:textId="77777777" w:rsidTr="00CE32A7">
        <w:trPr>
          <w:trHeight w:val="435"/>
        </w:trPr>
        <w:tc>
          <w:tcPr>
            <w:tcW w:w="4005" w:type="dxa"/>
            <w:shd w:val="clear" w:color="auto" w:fill="FFFFFF"/>
            <w:vAlign w:val="center"/>
          </w:tcPr>
          <w:p w14:paraId="5CCBC216" w14:textId="77777777" w:rsidR="00CE32A7" w:rsidRDefault="00CE32A7" w:rsidP="00CE32A7">
            <w:pPr>
              <w:pStyle w:val="TableParagraph"/>
              <w:ind w:left="0"/>
              <w:rPr>
                <w:rFonts w:ascii="Arial" w:hAnsi="Arial" w:cs="Arial"/>
                <w:sz w:val="18"/>
                <w:szCs w:val="18"/>
              </w:rPr>
            </w:pPr>
            <w:r>
              <w:rPr>
                <w:rFonts w:ascii="Arial" w:hAnsi="Arial" w:cs="Arial"/>
                <w:sz w:val="18"/>
                <w:szCs w:val="18"/>
              </w:rPr>
              <w:t>Social Services</w:t>
            </w:r>
          </w:p>
          <w:p w14:paraId="0FE1B317"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Lewis Building, DHSS Campus, Herman Holloway Sr. Campus, 1901 N. DuPont Highway</w:t>
            </w:r>
          </w:p>
          <w:p w14:paraId="60A03ED0"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7E969A02" w14:textId="77777777" w:rsidR="00CE32A7" w:rsidRPr="00616F0B" w:rsidRDefault="00CE32A7" w:rsidP="00CE32A7">
            <w:pPr>
              <w:pStyle w:val="TableParagraph"/>
              <w:ind w:left="0"/>
              <w:rPr>
                <w:rFonts w:ascii="Arial" w:hAnsi="Arial" w:cs="Arial"/>
                <w:sz w:val="18"/>
                <w:szCs w:val="18"/>
              </w:rPr>
            </w:pPr>
          </w:p>
        </w:tc>
      </w:tr>
      <w:tr w:rsidR="00CE32A7" w:rsidRPr="00341151" w14:paraId="2508DAFF" w14:textId="77777777" w:rsidTr="00CE32A7">
        <w:trPr>
          <w:trHeight w:val="435"/>
        </w:trPr>
        <w:tc>
          <w:tcPr>
            <w:tcW w:w="4005" w:type="dxa"/>
            <w:shd w:val="clear" w:color="auto" w:fill="FFFFFF"/>
            <w:vAlign w:val="center"/>
          </w:tcPr>
          <w:p w14:paraId="636EB47F" w14:textId="77777777" w:rsidR="00CE32A7" w:rsidRDefault="00CE32A7" w:rsidP="00CE32A7">
            <w:pPr>
              <w:pStyle w:val="TableParagraph"/>
              <w:ind w:left="0"/>
              <w:rPr>
                <w:rFonts w:ascii="Arial" w:hAnsi="Arial" w:cs="Arial"/>
                <w:sz w:val="18"/>
                <w:szCs w:val="18"/>
              </w:rPr>
            </w:pPr>
            <w:r>
              <w:rPr>
                <w:rFonts w:ascii="Arial" w:hAnsi="Arial" w:cs="Arial"/>
                <w:sz w:val="18"/>
                <w:szCs w:val="18"/>
              </w:rPr>
              <w:t>State Fire Prevention Commission</w:t>
            </w:r>
          </w:p>
          <w:p w14:paraId="290F6419"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1463 Chestnut Grove Road</w:t>
            </w:r>
          </w:p>
          <w:p w14:paraId="4E7FE581"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DE 19904</w:t>
            </w:r>
          </w:p>
        </w:tc>
        <w:tc>
          <w:tcPr>
            <w:tcW w:w="1575" w:type="dxa"/>
            <w:shd w:val="clear" w:color="auto" w:fill="auto"/>
            <w:vAlign w:val="center"/>
          </w:tcPr>
          <w:p w14:paraId="1B945836" w14:textId="77777777" w:rsidR="00CE32A7" w:rsidRPr="00616F0B" w:rsidRDefault="00CE32A7" w:rsidP="00CE32A7">
            <w:pPr>
              <w:pStyle w:val="TableParagraph"/>
              <w:ind w:left="0"/>
              <w:rPr>
                <w:rFonts w:ascii="Arial" w:hAnsi="Arial" w:cs="Arial"/>
                <w:sz w:val="18"/>
                <w:szCs w:val="18"/>
              </w:rPr>
            </w:pPr>
          </w:p>
        </w:tc>
      </w:tr>
      <w:tr w:rsidR="00CE32A7" w:rsidRPr="00341151" w14:paraId="7F7B9186" w14:textId="77777777" w:rsidTr="00CE32A7">
        <w:trPr>
          <w:trHeight w:val="435"/>
        </w:trPr>
        <w:tc>
          <w:tcPr>
            <w:tcW w:w="4005" w:type="dxa"/>
            <w:shd w:val="clear" w:color="auto" w:fill="FFFFFF"/>
            <w:vAlign w:val="center"/>
          </w:tcPr>
          <w:p w14:paraId="5FC63822" w14:textId="77777777" w:rsidR="00CE32A7" w:rsidRDefault="00CE32A7" w:rsidP="00CE32A7">
            <w:pPr>
              <w:pStyle w:val="TableParagraph"/>
              <w:ind w:left="0"/>
              <w:rPr>
                <w:rFonts w:ascii="Arial" w:hAnsi="Arial" w:cs="Arial"/>
                <w:sz w:val="18"/>
                <w:szCs w:val="18"/>
              </w:rPr>
            </w:pPr>
            <w:r>
              <w:rPr>
                <w:rFonts w:ascii="Arial" w:hAnsi="Arial" w:cs="Arial"/>
                <w:sz w:val="18"/>
                <w:szCs w:val="18"/>
              </w:rPr>
              <w:t>State Fire School</w:t>
            </w:r>
          </w:p>
          <w:p w14:paraId="526465D7"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1461 Chestnut Grove Road</w:t>
            </w:r>
          </w:p>
          <w:p w14:paraId="70A3BBC0"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DE 19904</w:t>
            </w:r>
          </w:p>
        </w:tc>
        <w:tc>
          <w:tcPr>
            <w:tcW w:w="1575" w:type="dxa"/>
            <w:shd w:val="clear" w:color="auto" w:fill="auto"/>
            <w:vAlign w:val="center"/>
          </w:tcPr>
          <w:p w14:paraId="54669C00" w14:textId="77777777" w:rsidR="00CE32A7" w:rsidRPr="00616F0B" w:rsidRDefault="00CE32A7" w:rsidP="00CE32A7">
            <w:pPr>
              <w:pStyle w:val="TableParagraph"/>
              <w:ind w:left="0"/>
              <w:rPr>
                <w:rFonts w:ascii="Arial" w:hAnsi="Arial" w:cs="Arial"/>
                <w:sz w:val="18"/>
                <w:szCs w:val="18"/>
              </w:rPr>
            </w:pPr>
          </w:p>
        </w:tc>
      </w:tr>
      <w:tr w:rsidR="00CE32A7" w:rsidRPr="00341151" w14:paraId="4D0C26DB" w14:textId="77777777" w:rsidTr="00CE32A7">
        <w:trPr>
          <w:trHeight w:val="435"/>
        </w:trPr>
        <w:tc>
          <w:tcPr>
            <w:tcW w:w="4005" w:type="dxa"/>
            <w:shd w:val="clear" w:color="auto" w:fill="FFFFFF"/>
            <w:vAlign w:val="center"/>
          </w:tcPr>
          <w:p w14:paraId="428AC69A" w14:textId="77777777" w:rsidR="00CE32A7" w:rsidRDefault="00CE32A7" w:rsidP="00CE32A7">
            <w:pPr>
              <w:pStyle w:val="TableParagraph"/>
              <w:ind w:left="0"/>
              <w:rPr>
                <w:rFonts w:ascii="Arial" w:hAnsi="Arial" w:cs="Arial"/>
                <w:sz w:val="18"/>
                <w:szCs w:val="18"/>
              </w:rPr>
            </w:pPr>
            <w:r>
              <w:rPr>
                <w:rFonts w:ascii="Arial" w:hAnsi="Arial" w:cs="Arial"/>
                <w:sz w:val="18"/>
                <w:szCs w:val="18"/>
              </w:rPr>
              <w:t>State Police</w:t>
            </w:r>
          </w:p>
          <w:p w14:paraId="60F1E4C6"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1441 N. DuPont Highway, P.O. Box 430</w:t>
            </w:r>
          </w:p>
          <w:p w14:paraId="3AE2702C"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DE 19903</w:t>
            </w:r>
          </w:p>
        </w:tc>
        <w:tc>
          <w:tcPr>
            <w:tcW w:w="1575" w:type="dxa"/>
            <w:shd w:val="clear" w:color="auto" w:fill="auto"/>
            <w:vAlign w:val="center"/>
          </w:tcPr>
          <w:p w14:paraId="1BF62593" w14:textId="77777777" w:rsidR="00CE32A7" w:rsidRPr="00616F0B" w:rsidRDefault="00CE32A7" w:rsidP="00CE32A7">
            <w:pPr>
              <w:pStyle w:val="TableParagraph"/>
              <w:ind w:left="0"/>
              <w:rPr>
                <w:rFonts w:ascii="Arial" w:hAnsi="Arial" w:cs="Arial"/>
                <w:sz w:val="18"/>
                <w:szCs w:val="18"/>
              </w:rPr>
            </w:pPr>
          </w:p>
        </w:tc>
      </w:tr>
      <w:tr w:rsidR="00CE32A7" w:rsidRPr="00341151" w14:paraId="23044D93" w14:textId="77777777" w:rsidTr="00CE32A7">
        <w:trPr>
          <w:trHeight w:val="435"/>
        </w:trPr>
        <w:tc>
          <w:tcPr>
            <w:tcW w:w="4005" w:type="dxa"/>
            <w:shd w:val="clear" w:color="auto" w:fill="FFFFFF"/>
            <w:vAlign w:val="center"/>
          </w:tcPr>
          <w:p w14:paraId="663B9113" w14:textId="77777777" w:rsidR="00CE32A7" w:rsidRDefault="00CE32A7" w:rsidP="00CE32A7">
            <w:pPr>
              <w:pStyle w:val="TableParagraph"/>
              <w:ind w:left="0"/>
              <w:rPr>
                <w:rFonts w:ascii="Arial" w:hAnsi="Arial" w:cs="Arial"/>
                <w:sz w:val="18"/>
                <w:szCs w:val="18"/>
              </w:rPr>
            </w:pPr>
            <w:r>
              <w:rPr>
                <w:rFonts w:ascii="Arial" w:hAnsi="Arial" w:cs="Arial"/>
                <w:sz w:val="18"/>
                <w:szCs w:val="18"/>
              </w:rPr>
              <w:t>State Service Centers</w:t>
            </w:r>
          </w:p>
          <w:p w14:paraId="163966DD"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 xml:space="preserve">1901 N. </w:t>
            </w:r>
            <w:proofErr w:type="spellStart"/>
            <w:r w:rsidRPr="00082F71">
              <w:rPr>
                <w:rFonts w:ascii="Arial" w:hAnsi="Arial" w:cs="Arial"/>
                <w:sz w:val="18"/>
                <w:szCs w:val="18"/>
              </w:rPr>
              <w:t>Dupont</w:t>
            </w:r>
            <w:proofErr w:type="spellEnd"/>
            <w:r w:rsidRPr="00082F71">
              <w:rPr>
                <w:rFonts w:ascii="Arial" w:hAnsi="Arial" w:cs="Arial"/>
                <w:sz w:val="18"/>
                <w:szCs w:val="18"/>
              </w:rPr>
              <w:t xml:space="preserve"> Highway, Charles </w:t>
            </w:r>
            <w:proofErr w:type="spellStart"/>
            <w:r w:rsidRPr="00082F71">
              <w:rPr>
                <w:rFonts w:ascii="Arial" w:hAnsi="Arial" w:cs="Arial"/>
                <w:sz w:val="18"/>
                <w:szCs w:val="18"/>
              </w:rPr>
              <w:t>Debnam</w:t>
            </w:r>
            <w:proofErr w:type="spellEnd"/>
            <w:r w:rsidRPr="00082F71">
              <w:rPr>
                <w:rFonts w:ascii="Arial" w:hAnsi="Arial" w:cs="Arial"/>
                <w:sz w:val="18"/>
                <w:szCs w:val="18"/>
              </w:rPr>
              <w:t xml:space="preserve"> Building</w:t>
            </w:r>
          </w:p>
          <w:p w14:paraId="332BE169"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35734AAB" w14:textId="77777777" w:rsidR="00CE32A7" w:rsidRPr="00616F0B" w:rsidRDefault="00CE32A7" w:rsidP="00CE32A7">
            <w:pPr>
              <w:pStyle w:val="TableParagraph"/>
              <w:ind w:left="0"/>
              <w:rPr>
                <w:rFonts w:ascii="Arial" w:hAnsi="Arial" w:cs="Arial"/>
                <w:sz w:val="18"/>
                <w:szCs w:val="18"/>
              </w:rPr>
            </w:pPr>
          </w:p>
        </w:tc>
      </w:tr>
      <w:tr w:rsidR="00CE32A7" w:rsidRPr="00341151" w14:paraId="14B5FB9B" w14:textId="77777777" w:rsidTr="00CE32A7">
        <w:trPr>
          <w:trHeight w:val="435"/>
        </w:trPr>
        <w:tc>
          <w:tcPr>
            <w:tcW w:w="4005" w:type="dxa"/>
            <w:shd w:val="clear" w:color="auto" w:fill="FFFFFF"/>
            <w:vAlign w:val="center"/>
          </w:tcPr>
          <w:p w14:paraId="7720D6DE" w14:textId="77777777" w:rsidR="00CE32A7" w:rsidRDefault="00CE32A7" w:rsidP="00CE32A7">
            <w:pPr>
              <w:pStyle w:val="TableParagraph"/>
              <w:ind w:left="0"/>
              <w:rPr>
                <w:rFonts w:ascii="Arial" w:hAnsi="Arial" w:cs="Arial"/>
                <w:sz w:val="18"/>
                <w:szCs w:val="18"/>
              </w:rPr>
            </w:pPr>
            <w:r>
              <w:rPr>
                <w:rFonts w:ascii="Arial" w:hAnsi="Arial" w:cs="Arial"/>
                <w:sz w:val="18"/>
                <w:szCs w:val="18"/>
              </w:rPr>
              <w:t xml:space="preserve">Substance Abuse and Mental Health </w:t>
            </w:r>
          </w:p>
          <w:p w14:paraId="41DFF404"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 xml:space="preserve">Herman M. Holloway, Sr. Campus, 1901 N. Du Pont Highway, Main </w:t>
            </w:r>
            <w:proofErr w:type="spellStart"/>
            <w:r w:rsidRPr="00082F71">
              <w:rPr>
                <w:rFonts w:ascii="Arial" w:hAnsi="Arial" w:cs="Arial"/>
                <w:sz w:val="18"/>
                <w:szCs w:val="18"/>
              </w:rPr>
              <w:t>Bldg</w:t>
            </w:r>
            <w:proofErr w:type="spellEnd"/>
          </w:p>
          <w:p w14:paraId="47A1108C"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0904B590" w14:textId="77777777" w:rsidR="00CE32A7" w:rsidRPr="00616F0B" w:rsidRDefault="00CE32A7" w:rsidP="00CE32A7">
            <w:pPr>
              <w:pStyle w:val="TableParagraph"/>
              <w:ind w:left="0"/>
              <w:rPr>
                <w:rFonts w:ascii="Arial" w:hAnsi="Arial" w:cs="Arial"/>
                <w:sz w:val="18"/>
                <w:szCs w:val="18"/>
              </w:rPr>
            </w:pPr>
          </w:p>
        </w:tc>
      </w:tr>
      <w:tr w:rsidR="00CE32A7" w:rsidRPr="00341151" w14:paraId="3554707B" w14:textId="77777777" w:rsidTr="00CE32A7">
        <w:trPr>
          <w:trHeight w:val="435"/>
        </w:trPr>
        <w:tc>
          <w:tcPr>
            <w:tcW w:w="4005" w:type="dxa"/>
            <w:shd w:val="clear" w:color="auto" w:fill="FFFFFF"/>
            <w:vAlign w:val="center"/>
          </w:tcPr>
          <w:p w14:paraId="248215D1" w14:textId="77777777" w:rsidR="00CE32A7" w:rsidRDefault="00CE32A7" w:rsidP="00CE32A7">
            <w:pPr>
              <w:pStyle w:val="TableParagraph"/>
              <w:ind w:left="0"/>
              <w:rPr>
                <w:rFonts w:ascii="Arial" w:hAnsi="Arial" w:cs="Arial"/>
                <w:sz w:val="18"/>
                <w:szCs w:val="18"/>
              </w:rPr>
            </w:pPr>
            <w:r>
              <w:rPr>
                <w:rFonts w:ascii="Arial" w:hAnsi="Arial" w:cs="Arial"/>
                <w:sz w:val="18"/>
                <w:szCs w:val="18"/>
              </w:rPr>
              <w:t>Superior Court</w:t>
            </w:r>
          </w:p>
          <w:p w14:paraId="2D8BC8B8"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905 S. Governors Ave., Suite 170</w:t>
            </w:r>
          </w:p>
          <w:p w14:paraId="66A013DB"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Dover, DE 19904</w:t>
            </w:r>
          </w:p>
        </w:tc>
        <w:tc>
          <w:tcPr>
            <w:tcW w:w="1575" w:type="dxa"/>
            <w:shd w:val="clear" w:color="auto" w:fill="auto"/>
            <w:vAlign w:val="center"/>
          </w:tcPr>
          <w:p w14:paraId="2626B0AC" w14:textId="77777777" w:rsidR="00CE32A7" w:rsidRPr="00616F0B" w:rsidRDefault="00CE32A7" w:rsidP="00CE32A7">
            <w:pPr>
              <w:pStyle w:val="TableParagraph"/>
              <w:ind w:left="0"/>
              <w:rPr>
                <w:rFonts w:ascii="Arial" w:hAnsi="Arial" w:cs="Arial"/>
                <w:sz w:val="18"/>
                <w:szCs w:val="18"/>
              </w:rPr>
            </w:pPr>
          </w:p>
        </w:tc>
      </w:tr>
      <w:tr w:rsidR="00CE32A7" w:rsidRPr="00341151" w14:paraId="5047729B" w14:textId="77777777" w:rsidTr="00CE32A7">
        <w:trPr>
          <w:trHeight w:val="435"/>
        </w:trPr>
        <w:tc>
          <w:tcPr>
            <w:tcW w:w="4005" w:type="dxa"/>
            <w:shd w:val="clear" w:color="auto" w:fill="FFFFFF"/>
            <w:vAlign w:val="center"/>
          </w:tcPr>
          <w:p w14:paraId="036BE8CB" w14:textId="77777777" w:rsidR="00CE32A7" w:rsidRDefault="00CE32A7" w:rsidP="00CE32A7">
            <w:pPr>
              <w:pStyle w:val="TableParagraph"/>
              <w:ind w:left="0"/>
              <w:rPr>
                <w:rFonts w:ascii="Arial" w:hAnsi="Arial" w:cs="Arial"/>
                <w:sz w:val="18"/>
                <w:szCs w:val="18"/>
              </w:rPr>
            </w:pPr>
            <w:r>
              <w:rPr>
                <w:rFonts w:ascii="Arial" w:hAnsi="Arial" w:cs="Arial"/>
                <w:sz w:val="18"/>
                <w:szCs w:val="18"/>
              </w:rPr>
              <w:t>Sussex County Elections</w:t>
            </w:r>
          </w:p>
          <w:p w14:paraId="5DCE5982"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119 N. Race St., P.O. Box 457</w:t>
            </w:r>
          </w:p>
          <w:p w14:paraId="504CBF0B"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Georgetown</w:t>
            </w:r>
            <w:r>
              <w:rPr>
                <w:rFonts w:ascii="Arial" w:hAnsi="Arial" w:cs="Arial"/>
                <w:sz w:val="18"/>
                <w:szCs w:val="18"/>
              </w:rPr>
              <w:t>,</w:t>
            </w:r>
            <w:r w:rsidRPr="00082F71">
              <w:rPr>
                <w:rFonts w:ascii="Arial" w:hAnsi="Arial" w:cs="Arial"/>
                <w:sz w:val="18"/>
                <w:szCs w:val="18"/>
              </w:rPr>
              <w:t xml:space="preserve"> DE 19947</w:t>
            </w:r>
          </w:p>
        </w:tc>
        <w:tc>
          <w:tcPr>
            <w:tcW w:w="1575" w:type="dxa"/>
            <w:shd w:val="clear" w:color="auto" w:fill="auto"/>
            <w:vAlign w:val="center"/>
          </w:tcPr>
          <w:p w14:paraId="2B49FBA3" w14:textId="77777777" w:rsidR="00CE32A7" w:rsidRPr="00616F0B" w:rsidRDefault="00CE32A7" w:rsidP="00CE32A7">
            <w:pPr>
              <w:pStyle w:val="TableParagraph"/>
              <w:ind w:left="0"/>
              <w:rPr>
                <w:rFonts w:ascii="Arial" w:hAnsi="Arial" w:cs="Arial"/>
                <w:sz w:val="18"/>
                <w:szCs w:val="18"/>
              </w:rPr>
            </w:pPr>
          </w:p>
        </w:tc>
      </w:tr>
      <w:tr w:rsidR="00CE32A7" w:rsidRPr="00341151" w14:paraId="735A8244" w14:textId="77777777" w:rsidTr="00CE32A7">
        <w:trPr>
          <w:trHeight w:val="435"/>
        </w:trPr>
        <w:tc>
          <w:tcPr>
            <w:tcW w:w="4005" w:type="dxa"/>
            <w:shd w:val="clear" w:color="auto" w:fill="FFFFFF"/>
            <w:vAlign w:val="center"/>
          </w:tcPr>
          <w:p w14:paraId="60048EB5" w14:textId="77777777" w:rsidR="00CE32A7" w:rsidRDefault="00CE32A7" w:rsidP="00CE32A7">
            <w:pPr>
              <w:pStyle w:val="TableParagraph"/>
              <w:ind w:left="0"/>
              <w:rPr>
                <w:rFonts w:ascii="Arial" w:hAnsi="Arial" w:cs="Arial"/>
                <w:sz w:val="18"/>
                <w:szCs w:val="18"/>
              </w:rPr>
            </w:pPr>
            <w:r>
              <w:rPr>
                <w:rFonts w:ascii="Arial" w:hAnsi="Arial" w:cs="Arial"/>
                <w:sz w:val="18"/>
                <w:szCs w:val="18"/>
              </w:rPr>
              <w:t>Veteran’s Home</w:t>
            </w:r>
          </w:p>
          <w:p w14:paraId="29E38CE6"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100 Delaware Veterans Boulevard</w:t>
            </w:r>
          </w:p>
          <w:p w14:paraId="19A1108D"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Milford, DE 19963</w:t>
            </w:r>
          </w:p>
        </w:tc>
        <w:tc>
          <w:tcPr>
            <w:tcW w:w="1575" w:type="dxa"/>
            <w:shd w:val="clear" w:color="auto" w:fill="auto"/>
            <w:vAlign w:val="center"/>
          </w:tcPr>
          <w:p w14:paraId="53049F27" w14:textId="77777777" w:rsidR="00CE32A7" w:rsidRPr="00616F0B" w:rsidRDefault="00CE32A7" w:rsidP="00CE32A7">
            <w:pPr>
              <w:pStyle w:val="TableParagraph"/>
              <w:ind w:left="0"/>
              <w:rPr>
                <w:rFonts w:ascii="Arial" w:hAnsi="Arial" w:cs="Arial"/>
                <w:sz w:val="18"/>
                <w:szCs w:val="18"/>
              </w:rPr>
            </w:pPr>
          </w:p>
        </w:tc>
      </w:tr>
      <w:tr w:rsidR="00CE32A7" w:rsidRPr="00341151" w14:paraId="1FAABC64" w14:textId="77777777" w:rsidTr="00CE32A7">
        <w:trPr>
          <w:trHeight w:val="435"/>
        </w:trPr>
        <w:tc>
          <w:tcPr>
            <w:tcW w:w="4005" w:type="dxa"/>
            <w:shd w:val="clear" w:color="auto" w:fill="FFFFFF"/>
            <w:vAlign w:val="center"/>
          </w:tcPr>
          <w:p w14:paraId="72446881" w14:textId="77777777" w:rsidR="00CE32A7" w:rsidRDefault="00CE32A7" w:rsidP="00CE32A7">
            <w:pPr>
              <w:pStyle w:val="TableParagraph"/>
              <w:ind w:left="0"/>
              <w:rPr>
                <w:rFonts w:ascii="Arial" w:hAnsi="Arial" w:cs="Arial"/>
                <w:sz w:val="18"/>
                <w:szCs w:val="18"/>
              </w:rPr>
            </w:pPr>
            <w:r>
              <w:rPr>
                <w:rFonts w:ascii="Arial" w:hAnsi="Arial" w:cs="Arial"/>
                <w:sz w:val="18"/>
                <w:szCs w:val="18"/>
              </w:rPr>
              <w:t>Visually Impaired Services</w:t>
            </w:r>
          </w:p>
          <w:p w14:paraId="456A1C2B" w14:textId="77777777" w:rsidR="00CE32A7" w:rsidRDefault="00CE32A7" w:rsidP="00CE32A7">
            <w:pPr>
              <w:pStyle w:val="TableParagraph"/>
              <w:ind w:left="0"/>
              <w:rPr>
                <w:rFonts w:ascii="Arial" w:hAnsi="Arial" w:cs="Arial"/>
                <w:sz w:val="18"/>
                <w:szCs w:val="18"/>
              </w:rPr>
            </w:pPr>
            <w:r w:rsidRPr="00082F71">
              <w:rPr>
                <w:rFonts w:ascii="Arial" w:hAnsi="Arial" w:cs="Arial"/>
                <w:sz w:val="18"/>
                <w:szCs w:val="18"/>
              </w:rPr>
              <w:t>1901 North DuPont Highway</w:t>
            </w:r>
          </w:p>
          <w:p w14:paraId="12C7687A" w14:textId="77777777" w:rsidR="00CE32A7" w:rsidRPr="00D92A65" w:rsidRDefault="00CE32A7" w:rsidP="00CE32A7">
            <w:pPr>
              <w:pStyle w:val="TableParagraph"/>
              <w:ind w:left="0"/>
              <w:rPr>
                <w:rFonts w:ascii="Arial" w:hAnsi="Arial" w:cs="Arial"/>
                <w:sz w:val="18"/>
                <w:szCs w:val="18"/>
              </w:rPr>
            </w:pPr>
            <w:r w:rsidRPr="00082F71">
              <w:rPr>
                <w:rFonts w:ascii="Arial" w:hAnsi="Arial" w:cs="Arial"/>
                <w:sz w:val="18"/>
                <w:szCs w:val="18"/>
              </w:rPr>
              <w:t>New Castle, DE 19720</w:t>
            </w:r>
          </w:p>
        </w:tc>
        <w:tc>
          <w:tcPr>
            <w:tcW w:w="1575" w:type="dxa"/>
            <w:shd w:val="clear" w:color="auto" w:fill="auto"/>
            <w:vAlign w:val="center"/>
          </w:tcPr>
          <w:p w14:paraId="06FFD568" w14:textId="77777777" w:rsidR="00CE32A7" w:rsidRPr="00616F0B" w:rsidRDefault="00CE32A7" w:rsidP="00CE32A7">
            <w:pPr>
              <w:pStyle w:val="TableParagraph"/>
              <w:ind w:left="0"/>
              <w:rPr>
                <w:rFonts w:ascii="Arial" w:hAnsi="Arial" w:cs="Arial"/>
                <w:sz w:val="18"/>
                <w:szCs w:val="18"/>
              </w:rPr>
            </w:pPr>
          </w:p>
        </w:tc>
      </w:tr>
      <w:tr w:rsidR="00CE32A7" w:rsidRPr="00341151" w14:paraId="5D31B55B" w14:textId="77777777" w:rsidTr="00CE32A7">
        <w:trPr>
          <w:trHeight w:val="435"/>
        </w:trPr>
        <w:tc>
          <w:tcPr>
            <w:tcW w:w="4005" w:type="dxa"/>
            <w:shd w:val="clear" w:color="auto" w:fill="FFFFFF"/>
            <w:vAlign w:val="center"/>
          </w:tcPr>
          <w:p w14:paraId="740A1859" w14:textId="77777777" w:rsidR="00CE32A7" w:rsidRPr="009E66DB" w:rsidRDefault="00CE32A7" w:rsidP="00CE32A7">
            <w:pPr>
              <w:pStyle w:val="TableParagraph"/>
              <w:ind w:left="0"/>
              <w:rPr>
                <w:rFonts w:ascii="Arial" w:hAnsi="Arial" w:cs="Arial"/>
                <w:sz w:val="18"/>
                <w:szCs w:val="18"/>
              </w:rPr>
            </w:pPr>
            <w:r w:rsidRPr="008755FE">
              <w:rPr>
                <w:rFonts w:ascii="Arial" w:hAnsi="Arial" w:cs="Arial"/>
                <w:sz w:val="18"/>
                <w:szCs w:val="18"/>
              </w:rPr>
              <w:t>Delaware Technical Community College</w:t>
            </w:r>
            <w:r w:rsidR="008755FE">
              <w:rPr>
                <w:rFonts w:ascii="Arial" w:hAnsi="Arial" w:cs="Arial"/>
                <w:sz w:val="18"/>
                <w:szCs w:val="18"/>
              </w:rPr>
              <w:t xml:space="preserve"> – Terry Campus (Dover)</w:t>
            </w:r>
          </w:p>
          <w:p w14:paraId="42550E3C" w14:textId="77777777" w:rsidR="00CE32A7" w:rsidRPr="009E66DB" w:rsidRDefault="008755FE" w:rsidP="00CE32A7">
            <w:pPr>
              <w:pStyle w:val="TableParagraph"/>
              <w:ind w:left="0"/>
              <w:rPr>
                <w:rFonts w:ascii="Arial" w:hAnsi="Arial" w:cs="Arial"/>
                <w:sz w:val="18"/>
                <w:szCs w:val="18"/>
              </w:rPr>
            </w:pPr>
            <w:r>
              <w:rPr>
                <w:rFonts w:ascii="Arial" w:hAnsi="Arial" w:cs="Arial"/>
                <w:sz w:val="18"/>
                <w:szCs w:val="18"/>
              </w:rPr>
              <w:t>100 Campus Dr.</w:t>
            </w:r>
          </w:p>
          <w:p w14:paraId="540FF008" w14:textId="77777777" w:rsidR="00CE32A7" w:rsidRPr="008755FE" w:rsidRDefault="00CE32A7" w:rsidP="00CE32A7">
            <w:pPr>
              <w:pStyle w:val="TableParagraph"/>
              <w:ind w:left="0"/>
              <w:rPr>
                <w:rFonts w:ascii="Arial" w:hAnsi="Arial" w:cs="Arial"/>
                <w:sz w:val="18"/>
                <w:szCs w:val="18"/>
              </w:rPr>
            </w:pPr>
            <w:r w:rsidRPr="008755FE">
              <w:rPr>
                <w:rFonts w:ascii="Arial" w:hAnsi="Arial" w:cs="Arial"/>
                <w:sz w:val="18"/>
                <w:szCs w:val="18"/>
              </w:rPr>
              <w:t>Dover, DE 1990</w:t>
            </w:r>
            <w:r w:rsidR="008755FE">
              <w:rPr>
                <w:rFonts w:ascii="Arial" w:hAnsi="Arial" w:cs="Arial"/>
                <w:sz w:val="18"/>
                <w:szCs w:val="18"/>
              </w:rPr>
              <w:t>4-1383</w:t>
            </w:r>
          </w:p>
        </w:tc>
        <w:tc>
          <w:tcPr>
            <w:tcW w:w="1575" w:type="dxa"/>
            <w:shd w:val="clear" w:color="auto" w:fill="auto"/>
            <w:vAlign w:val="center"/>
          </w:tcPr>
          <w:p w14:paraId="027853C1" w14:textId="77777777" w:rsidR="00CE32A7" w:rsidRPr="00616F0B" w:rsidRDefault="00CE32A7" w:rsidP="00CE32A7">
            <w:pPr>
              <w:pStyle w:val="TableParagraph"/>
              <w:ind w:left="0"/>
              <w:rPr>
                <w:rFonts w:ascii="Arial" w:hAnsi="Arial" w:cs="Arial"/>
                <w:sz w:val="18"/>
                <w:szCs w:val="18"/>
              </w:rPr>
            </w:pPr>
          </w:p>
        </w:tc>
      </w:tr>
      <w:tr w:rsidR="008755FE" w:rsidRPr="00341151" w14:paraId="6C8DC490" w14:textId="77777777" w:rsidTr="00CC34E6">
        <w:trPr>
          <w:trHeight w:val="435"/>
        </w:trPr>
        <w:tc>
          <w:tcPr>
            <w:tcW w:w="4005" w:type="dxa"/>
            <w:shd w:val="clear" w:color="auto" w:fill="FFFFFF"/>
          </w:tcPr>
          <w:p w14:paraId="57073E46" w14:textId="77777777" w:rsidR="008755FE" w:rsidRDefault="008755FE" w:rsidP="008755FE">
            <w:pPr>
              <w:pStyle w:val="TableParagraph"/>
              <w:ind w:left="0"/>
              <w:rPr>
                <w:rFonts w:ascii="Arial" w:hAnsi="Arial" w:cs="Arial"/>
                <w:sz w:val="18"/>
                <w:szCs w:val="18"/>
              </w:rPr>
            </w:pPr>
            <w:r w:rsidRPr="00FF3C67">
              <w:rPr>
                <w:rFonts w:ascii="Arial" w:hAnsi="Arial" w:cs="Arial"/>
                <w:sz w:val="18"/>
                <w:szCs w:val="18"/>
              </w:rPr>
              <w:t xml:space="preserve">Delaware Technical Community College </w:t>
            </w:r>
            <w:r>
              <w:rPr>
                <w:rFonts w:ascii="Arial" w:hAnsi="Arial" w:cs="Arial"/>
                <w:sz w:val="18"/>
                <w:szCs w:val="18"/>
              </w:rPr>
              <w:t>– Owens Campus (Georgetown)</w:t>
            </w:r>
          </w:p>
          <w:p w14:paraId="4BECE895" w14:textId="77777777" w:rsidR="008755FE" w:rsidRDefault="008755FE" w:rsidP="008755FE">
            <w:pPr>
              <w:pStyle w:val="TableParagraph"/>
              <w:ind w:left="0"/>
              <w:rPr>
                <w:rFonts w:ascii="Arial" w:hAnsi="Arial" w:cs="Arial"/>
                <w:sz w:val="18"/>
                <w:szCs w:val="18"/>
              </w:rPr>
            </w:pPr>
            <w:r>
              <w:rPr>
                <w:rFonts w:ascii="Arial" w:hAnsi="Arial" w:cs="Arial"/>
                <w:sz w:val="18"/>
                <w:szCs w:val="18"/>
              </w:rPr>
              <w:t>21179 College Dr.</w:t>
            </w:r>
          </w:p>
          <w:p w14:paraId="5AA37E35" w14:textId="77777777" w:rsidR="008755FE" w:rsidRPr="00D92A65" w:rsidRDefault="008755FE" w:rsidP="008755FE">
            <w:pPr>
              <w:pStyle w:val="TableParagraph"/>
              <w:ind w:left="0"/>
              <w:rPr>
                <w:rFonts w:ascii="Arial" w:hAnsi="Arial" w:cs="Arial"/>
                <w:sz w:val="18"/>
                <w:szCs w:val="18"/>
              </w:rPr>
            </w:pPr>
            <w:r>
              <w:rPr>
                <w:rFonts w:ascii="Arial" w:hAnsi="Arial" w:cs="Arial"/>
                <w:sz w:val="18"/>
                <w:szCs w:val="18"/>
              </w:rPr>
              <w:t>Georgetown, DE 19947</w:t>
            </w:r>
          </w:p>
        </w:tc>
        <w:tc>
          <w:tcPr>
            <w:tcW w:w="1575" w:type="dxa"/>
            <w:shd w:val="clear" w:color="auto" w:fill="auto"/>
            <w:vAlign w:val="center"/>
          </w:tcPr>
          <w:p w14:paraId="4D2DAE8A" w14:textId="77777777" w:rsidR="008755FE" w:rsidRPr="00616F0B" w:rsidRDefault="008755FE" w:rsidP="008755FE">
            <w:pPr>
              <w:pStyle w:val="TableParagraph"/>
              <w:ind w:left="0"/>
              <w:rPr>
                <w:rFonts w:ascii="Arial" w:hAnsi="Arial" w:cs="Arial"/>
                <w:sz w:val="18"/>
                <w:szCs w:val="18"/>
              </w:rPr>
            </w:pPr>
          </w:p>
        </w:tc>
      </w:tr>
      <w:tr w:rsidR="008755FE" w:rsidRPr="00341151" w14:paraId="361550B3" w14:textId="77777777" w:rsidTr="00CC34E6">
        <w:trPr>
          <w:trHeight w:val="435"/>
        </w:trPr>
        <w:tc>
          <w:tcPr>
            <w:tcW w:w="4005" w:type="dxa"/>
            <w:shd w:val="clear" w:color="auto" w:fill="FFFFFF"/>
          </w:tcPr>
          <w:p w14:paraId="15BABFC0" w14:textId="77777777" w:rsidR="008755FE" w:rsidRDefault="008755FE" w:rsidP="008755FE">
            <w:pPr>
              <w:pStyle w:val="TableParagraph"/>
              <w:ind w:left="0"/>
              <w:rPr>
                <w:rFonts w:ascii="Arial" w:hAnsi="Arial" w:cs="Arial"/>
                <w:sz w:val="18"/>
                <w:szCs w:val="18"/>
              </w:rPr>
            </w:pPr>
            <w:r w:rsidRPr="00FF3C67">
              <w:rPr>
                <w:rFonts w:ascii="Arial" w:hAnsi="Arial" w:cs="Arial"/>
                <w:sz w:val="18"/>
                <w:szCs w:val="18"/>
              </w:rPr>
              <w:t xml:space="preserve">Delaware Technical Community College </w:t>
            </w:r>
            <w:r>
              <w:rPr>
                <w:rFonts w:ascii="Arial" w:hAnsi="Arial" w:cs="Arial"/>
                <w:sz w:val="18"/>
                <w:szCs w:val="18"/>
              </w:rPr>
              <w:t>– Stanton</w:t>
            </w:r>
          </w:p>
          <w:p w14:paraId="385AF0E8" w14:textId="77777777" w:rsidR="008755FE" w:rsidRDefault="008755FE" w:rsidP="008755FE">
            <w:pPr>
              <w:pStyle w:val="TableParagraph"/>
              <w:ind w:left="0"/>
              <w:rPr>
                <w:rFonts w:ascii="Arial" w:hAnsi="Arial" w:cs="Arial"/>
                <w:sz w:val="18"/>
                <w:szCs w:val="18"/>
              </w:rPr>
            </w:pPr>
            <w:r>
              <w:rPr>
                <w:rFonts w:ascii="Arial" w:hAnsi="Arial" w:cs="Arial"/>
                <w:sz w:val="18"/>
                <w:szCs w:val="18"/>
              </w:rPr>
              <w:t>400 Stanton-Christiana Rd.</w:t>
            </w:r>
          </w:p>
          <w:p w14:paraId="13D8CB0D" w14:textId="77777777" w:rsidR="008755FE" w:rsidRPr="00D92A65" w:rsidRDefault="008755FE" w:rsidP="008755FE">
            <w:pPr>
              <w:pStyle w:val="TableParagraph"/>
              <w:ind w:left="0"/>
              <w:rPr>
                <w:rFonts w:ascii="Arial" w:hAnsi="Arial" w:cs="Arial"/>
                <w:sz w:val="18"/>
                <w:szCs w:val="18"/>
              </w:rPr>
            </w:pPr>
            <w:r>
              <w:rPr>
                <w:rFonts w:ascii="Arial" w:hAnsi="Arial" w:cs="Arial"/>
                <w:sz w:val="18"/>
                <w:szCs w:val="18"/>
              </w:rPr>
              <w:t>Newark, DE 19713</w:t>
            </w:r>
          </w:p>
        </w:tc>
        <w:tc>
          <w:tcPr>
            <w:tcW w:w="1575" w:type="dxa"/>
            <w:shd w:val="clear" w:color="auto" w:fill="auto"/>
            <w:vAlign w:val="center"/>
          </w:tcPr>
          <w:p w14:paraId="7EF2723B" w14:textId="77777777" w:rsidR="008755FE" w:rsidRPr="00616F0B" w:rsidRDefault="008755FE" w:rsidP="008755FE">
            <w:pPr>
              <w:pStyle w:val="TableParagraph"/>
              <w:ind w:left="0"/>
              <w:rPr>
                <w:rFonts w:ascii="Arial" w:hAnsi="Arial" w:cs="Arial"/>
                <w:sz w:val="18"/>
                <w:szCs w:val="18"/>
              </w:rPr>
            </w:pPr>
          </w:p>
        </w:tc>
      </w:tr>
      <w:tr w:rsidR="008755FE" w:rsidRPr="00341151" w14:paraId="3FDEC8E2" w14:textId="77777777" w:rsidTr="00CC34E6">
        <w:trPr>
          <w:trHeight w:val="435"/>
        </w:trPr>
        <w:tc>
          <w:tcPr>
            <w:tcW w:w="4005" w:type="dxa"/>
            <w:shd w:val="clear" w:color="auto" w:fill="FFFFFF"/>
          </w:tcPr>
          <w:p w14:paraId="6AC5A1E4" w14:textId="77777777" w:rsidR="008755FE" w:rsidRDefault="008755FE" w:rsidP="008755FE">
            <w:pPr>
              <w:pStyle w:val="TableParagraph"/>
              <w:ind w:left="0"/>
              <w:rPr>
                <w:rFonts w:ascii="Arial" w:hAnsi="Arial" w:cs="Arial"/>
                <w:sz w:val="18"/>
                <w:szCs w:val="18"/>
              </w:rPr>
            </w:pPr>
            <w:r w:rsidRPr="00FF3C67">
              <w:rPr>
                <w:rFonts w:ascii="Arial" w:hAnsi="Arial" w:cs="Arial"/>
                <w:sz w:val="18"/>
                <w:szCs w:val="18"/>
              </w:rPr>
              <w:t xml:space="preserve">Delaware Technical Community College </w:t>
            </w:r>
            <w:r>
              <w:rPr>
                <w:rFonts w:ascii="Arial" w:hAnsi="Arial" w:cs="Arial"/>
                <w:sz w:val="18"/>
                <w:szCs w:val="18"/>
              </w:rPr>
              <w:t>– George Campus (Wilmington)</w:t>
            </w:r>
          </w:p>
          <w:p w14:paraId="3AE090E1" w14:textId="77777777" w:rsidR="008755FE" w:rsidRDefault="008755FE" w:rsidP="008755FE">
            <w:pPr>
              <w:pStyle w:val="TableParagraph"/>
              <w:ind w:left="0"/>
              <w:rPr>
                <w:rFonts w:ascii="Arial" w:hAnsi="Arial" w:cs="Arial"/>
                <w:sz w:val="18"/>
                <w:szCs w:val="18"/>
              </w:rPr>
            </w:pPr>
            <w:r>
              <w:rPr>
                <w:rFonts w:ascii="Arial" w:hAnsi="Arial" w:cs="Arial"/>
                <w:sz w:val="18"/>
                <w:szCs w:val="18"/>
              </w:rPr>
              <w:t>300 N. Orange St.</w:t>
            </w:r>
          </w:p>
          <w:p w14:paraId="5422D4B0" w14:textId="77777777" w:rsidR="008755FE" w:rsidRPr="00D92A65" w:rsidRDefault="008755FE" w:rsidP="008755FE">
            <w:pPr>
              <w:pStyle w:val="TableParagraph"/>
              <w:ind w:left="0"/>
              <w:rPr>
                <w:rFonts w:ascii="Arial" w:hAnsi="Arial" w:cs="Arial"/>
                <w:sz w:val="18"/>
                <w:szCs w:val="18"/>
              </w:rPr>
            </w:pPr>
            <w:r>
              <w:rPr>
                <w:rFonts w:ascii="Arial" w:hAnsi="Arial" w:cs="Arial"/>
                <w:sz w:val="18"/>
                <w:szCs w:val="18"/>
              </w:rPr>
              <w:t>Wilmington, DE 19801</w:t>
            </w:r>
          </w:p>
        </w:tc>
        <w:tc>
          <w:tcPr>
            <w:tcW w:w="1575" w:type="dxa"/>
            <w:shd w:val="clear" w:color="auto" w:fill="auto"/>
            <w:vAlign w:val="center"/>
          </w:tcPr>
          <w:p w14:paraId="574652AE" w14:textId="77777777" w:rsidR="008755FE" w:rsidRPr="00616F0B" w:rsidRDefault="008755FE" w:rsidP="008755FE">
            <w:pPr>
              <w:pStyle w:val="TableParagraph"/>
              <w:ind w:left="0"/>
              <w:rPr>
                <w:rFonts w:ascii="Arial" w:hAnsi="Arial" w:cs="Arial"/>
                <w:sz w:val="18"/>
                <w:szCs w:val="18"/>
              </w:rPr>
            </w:pPr>
          </w:p>
        </w:tc>
      </w:tr>
      <w:tr w:rsidR="00CE32A7" w:rsidRPr="00341151" w14:paraId="13E12BC7" w14:textId="77777777" w:rsidTr="00CE32A7">
        <w:trPr>
          <w:trHeight w:val="435"/>
        </w:trPr>
        <w:tc>
          <w:tcPr>
            <w:tcW w:w="4005" w:type="dxa"/>
            <w:shd w:val="clear" w:color="auto" w:fill="FFFFFF"/>
            <w:vAlign w:val="center"/>
          </w:tcPr>
          <w:p w14:paraId="60CD609D" w14:textId="77777777" w:rsidR="00CE32A7" w:rsidRDefault="00CE32A7" w:rsidP="00CE32A7">
            <w:pPr>
              <w:pStyle w:val="TableParagraph"/>
              <w:ind w:left="0"/>
              <w:rPr>
                <w:rFonts w:ascii="Arial" w:hAnsi="Arial" w:cs="Arial"/>
                <w:sz w:val="18"/>
                <w:szCs w:val="18"/>
              </w:rPr>
            </w:pPr>
            <w:r w:rsidRPr="00D92A65">
              <w:rPr>
                <w:rFonts w:ascii="Arial" w:hAnsi="Arial" w:cs="Arial"/>
                <w:sz w:val="18"/>
                <w:szCs w:val="18"/>
              </w:rPr>
              <w:t>Caesar Rodney School District</w:t>
            </w:r>
          </w:p>
          <w:p w14:paraId="4200510F" w14:textId="77777777" w:rsidR="00CE32A7" w:rsidRDefault="00CE32A7" w:rsidP="00CE32A7">
            <w:pPr>
              <w:pStyle w:val="TableParagraph"/>
              <w:ind w:left="0"/>
              <w:rPr>
                <w:rFonts w:ascii="Arial" w:hAnsi="Arial" w:cs="Arial"/>
                <w:sz w:val="18"/>
                <w:szCs w:val="18"/>
              </w:rPr>
            </w:pPr>
            <w:r w:rsidRPr="00D92A65">
              <w:rPr>
                <w:rFonts w:ascii="Arial" w:hAnsi="Arial" w:cs="Arial"/>
                <w:sz w:val="18"/>
                <w:szCs w:val="18"/>
              </w:rPr>
              <w:t>7 Front Street</w:t>
            </w:r>
            <w:r>
              <w:rPr>
                <w:rFonts w:ascii="Arial" w:hAnsi="Arial" w:cs="Arial"/>
                <w:sz w:val="18"/>
                <w:szCs w:val="18"/>
              </w:rPr>
              <w:t xml:space="preserve"> </w:t>
            </w:r>
          </w:p>
          <w:p w14:paraId="2132871D" w14:textId="77777777" w:rsidR="00CE32A7" w:rsidRPr="0080739B" w:rsidRDefault="00CE32A7" w:rsidP="00CE32A7">
            <w:pPr>
              <w:pStyle w:val="TableParagraph"/>
              <w:ind w:left="0"/>
              <w:rPr>
                <w:rFonts w:ascii="Arial" w:hAnsi="Arial" w:cs="Arial"/>
                <w:sz w:val="18"/>
                <w:szCs w:val="18"/>
              </w:rPr>
            </w:pPr>
            <w:r w:rsidRPr="00D92A65">
              <w:rPr>
                <w:rFonts w:ascii="Arial" w:hAnsi="Arial" w:cs="Arial"/>
                <w:sz w:val="18"/>
                <w:szCs w:val="18"/>
              </w:rPr>
              <w:t>Wyoming, DE 19934</w:t>
            </w:r>
          </w:p>
        </w:tc>
        <w:tc>
          <w:tcPr>
            <w:tcW w:w="1575" w:type="dxa"/>
            <w:shd w:val="clear" w:color="auto" w:fill="auto"/>
            <w:vAlign w:val="center"/>
          </w:tcPr>
          <w:p w14:paraId="2A763522" w14:textId="77777777" w:rsidR="00CE32A7" w:rsidRPr="00616F0B" w:rsidRDefault="00CE32A7" w:rsidP="00CE32A7">
            <w:pPr>
              <w:pStyle w:val="TableParagraph"/>
              <w:ind w:left="0"/>
              <w:rPr>
                <w:rFonts w:ascii="Arial" w:hAnsi="Arial" w:cs="Arial"/>
                <w:sz w:val="18"/>
                <w:szCs w:val="18"/>
              </w:rPr>
            </w:pPr>
          </w:p>
        </w:tc>
      </w:tr>
      <w:tr w:rsidR="00CE32A7" w:rsidRPr="00341151" w14:paraId="633275A1" w14:textId="77777777" w:rsidTr="00CE32A7">
        <w:trPr>
          <w:trHeight w:val="435"/>
        </w:trPr>
        <w:tc>
          <w:tcPr>
            <w:tcW w:w="4005" w:type="dxa"/>
            <w:shd w:val="clear" w:color="auto" w:fill="FFFFFF"/>
            <w:vAlign w:val="center"/>
          </w:tcPr>
          <w:p w14:paraId="40591D47"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Capital School District</w:t>
            </w:r>
          </w:p>
          <w:p w14:paraId="35C4F82C"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198 Commerce Way</w:t>
            </w:r>
            <w:r>
              <w:rPr>
                <w:rFonts w:ascii="Arial" w:hAnsi="Arial" w:cs="Arial"/>
                <w:sz w:val="18"/>
                <w:szCs w:val="18"/>
              </w:rPr>
              <w:t xml:space="preserve"> </w:t>
            </w:r>
          </w:p>
          <w:p w14:paraId="60717F7B" w14:textId="77777777" w:rsidR="00CE32A7" w:rsidRPr="0080739B" w:rsidRDefault="00CE32A7" w:rsidP="00CE32A7">
            <w:pPr>
              <w:pStyle w:val="TableParagraph"/>
              <w:ind w:left="0"/>
              <w:rPr>
                <w:rFonts w:ascii="Arial" w:hAnsi="Arial" w:cs="Arial"/>
                <w:sz w:val="18"/>
                <w:szCs w:val="18"/>
              </w:rPr>
            </w:pPr>
            <w:r w:rsidRPr="00BB37A7">
              <w:rPr>
                <w:rFonts w:ascii="Arial" w:hAnsi="Arial" w:cs="Arial"/>
                <w:sz w:val="18"/>
                <w:szCs w:val="18"/>
              </w:rPr>
              <w:t>Dover, DE 19904</w:t>
            </w:r>
          </w:p>
        </w:tc>
        <w:tc>
          <w:tcPr>
            <w:tcW w:w="1575" w:type="dxa"/>
            <w:shd w:val="clear" w:color="auto" w:fill="auto"/>
            <w:vAlign w:val="center"/>
          </w:tcPr>
          <w:p w14:paraId="7D34872B" w14:textId="77777777" w:rsidR="00CE32A7" w:rsidRPr="00616F0B" w:rsidRDefault="00CE32A7" w:rsidP="00CE32A7">
            <w:pPr>
              <w:pStyle w:val="TableParagraph"/>
              <w:ind w:left="0"/>
              <w:rPr>
                <w:rFonts w:ascii="Arial" w:hAnsi="Arial" w:cs="Arial"/>
                <w:sz w:val="18"/>
                <w:szCs w:val="18"/>
              </w:rPr>
            </w:pPr>
          </w:p>
        </w:tc>
      </w:tr>
      <w:tr w:rsidR="00CE32A7" w:rsidRPr="00341151" w14:paraId="117638B3" w14:textId="77777777" w:rsidTr="00CE32A7">
        <w:trPr>
          <w:trHeight w:val="435"/>
        </w:trPr>
        <w:tc>
          <w:tcPr>
            <w:tcW w:w="4005" w:type="dxa"/>
            <w:tcBorders>
              <w:bottom w:val="single" w:sz="4" w:space="0" w:color="auto"/>
            </w:tcBorders>
            <w:shd w:val="clear" w:color="auto" w:fill="FFFFFF"/>
            <w:vAlign w:val="center"/>
          </w:tcPr>
          <w:p w14:paraId="21D788D1"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Lake Forest School District</w:t>
            </w:r>
          </w:p>
          <w:p w14:paraId="64A87FE8"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 xml:space="preserve">5407 </w:t>
            </w:r>
            <w:proofErr w:type="spellStart"/>
            <w:r w:rsidRPr="00BB37A7">
              <w:rPr>
                <w:rFonts w:ascii="Arial" w:hAnsi="Arial" w:cs="Arial"/>
                <w:sz w:val="18"/>
                <w:szCs w:val="18"/>
              </w:rPr>
              <w:t>Killens</w:t>
            </w:r>
            <w:proofErr w:type="spellEnd"/>
            <w:r w:rsidRPr="00BB37A7">
              <w:rPr>
                <w:rFonts w:ascii="Arial" w:hAnsi="Arial" w:cs="Arial"/>
                <w:sz w:val="18"/>
                <w:szCs w:val="18"/>
              </w:rPr>
              <w:t xml:space="preserve"> Pond Road</w:t>
            </w:r>
          </w:p>
          <w:p w14:paraId="2F3FDA26" w14:textId="77777777" w:rsidR="00CE32A7" w:rsidRPr="0080739B" w:rsidRDefault="00CE32A7" w:rsidP="00CE32A7">
            <w:pPr>
              <w:pStyle w:val="TableParagraph"/>
              <w:ind w:left="0"/>
              <w:rPr>
                <w:rFonts w:ascii="Arial" w:hAnsi="Arial" w:cs="Arial"/>
                <w:sz w:val="18"/>
                <w:szCs w:val="18"/>
              </w:rPr>
            </w:pPr>
            <w:r w:rsidRPr="00BB37A7">
              <w:rPr>
                <w:rFonts w:ascii="Arial" w:hAnsi="Arial" w:cs="Arial"/>
                <w:sz w:val="18"/>
                <w:szCs w:val="18"/>
              </w:rPr>
              <w:t>Felton, DE 19943</w:t>
            </w:r>
          </w:p>
        </w:tc>
        <w:tc>
          <w:tcPr>
            <w:tcW w:w="1575" w:type="dxa"/>
            <w:tcBorders>
              <w:bottom w:val="single" w:sz="4" w:space="0" w:color="auto"/>
            </w:tcBorders>
            <w:shd w:val="clear" w:color="auto" w:fill="auto"/>
            <w:vAlign w:val="center"/>
          </w:tcPr>
          <w:p w14:paraId="3FA0A8BD" w14:textId="77777777" w:rsidR="00CE32A7" w:rsidRPr="00616F0B" w:rsidRDefault="00CE32A7" w:rsidP="00CE32A7">
            <w:pPr>
              <w:pStyle w:val="TableParagraph"/>
              <w:ind w:left="0"/>
              <w:rPr>
                <w:rFonts w:ascii="Arial" w:hAnsi="Arial" w:cs="Arial"/>
                <w:sz w:val="18"/>
                <w:szCs w:val="18"/>
              </w:rPr>
            </w:pPr>
          </w:p>
        </w:tc>
      </w:tr>
      <w:tr w:rsidR="00CE32A7" w:rsidRPr="00341151" w14:paraId="49FD9C28" w14:textId="77777777" w:rsidTr="00CE32A7">
        <w:trPr>
          <w:trHeight w:val="435"/>
        </w:trPr>
        <w:tc>
          <w:tcPr>
            <w:tcW w:w="4005" w:type="dxa"/>
            <w:tcBorders>
              <w:top w:val="single" w:sz="4" w:space="0" w:color="auto"/>
              <w:bottom w:val="single" w:sz="4" w:space="0" w:color="auto"/>
            </w:tcBorders>
            <w:shd w:val="clear" w:color="auto" w:fill="FFFFFF"/>
            <w:vAlign w:val="center"/>
          </w:tcPr>
          <w:p w14:paraId="7F69DCED"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Laurel School District</w:t>
            </w:r>
          </w:p>
          <w:p w14:paraId="1B4D6F41"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1160 South Central Ave.</w:t>
            </w:r>
          </w:p>
          <w:p w14:paraId="04B1CD89" w14:textId="77777777" w:rsidR="00CE32A7" w:rsidRPr="00BB37A7" w:rsidRDefault="00CE32A7" w:rsidP="00CE32A7">
            <w:pPr>
              <w:pStyle w:val="TableParagraph"/>
              <w:ind w:left="0"/>
              <w:rPr>
                <w:rFonts w:ascii="Arial" w:hAnsi="Arial" w:cs="Arial"/>
                <w:sz w:val="18"/>
                <w:szCs w:val="18"/>
              </w:rPr>
            </w:pPr>
            <w:r w:rsidRPr="00BB37A7">
              <w:rPr>
                <w:rFonts w:ascii="Arial" w:hAnsi="Arial" w:cs="Arial"/>
                <w:sz w:val="18"/>
                <w:szCs w:val="18"/>
              </w:rPr>
              <w:t>Laurel, DE 19956</w:t>
            </w:r>
          </w:p>
        </w:tc>
        <w:tc>
          <w:tcPr>
            <w:tcW w:w="1575" w:type="dxa"/>
            <w:tcBorders>
              <w:top w:val="single" w:sz="4" w:space="0" w:color="auto"/>
              <w:bottom w:val="single" w:sz="4" w:space="0" w:color="auto"/>
            </w:tcBorders>
            <w:shd w:val="clear" w:color="auto" w:fill="auto"/>
            <w:vAlign w:val="center"/>
          </w:tcPr>
          <w:p w14:paraId="3426A7BC" w14:textId="77777777" w:rsidR="00CE32A7" w:rsidRPr="00616F0B" w:rsidRDefault="00CE32A7" w:rsidP="00CE32A7">
            <w:pPr>
              <w:pStyle w:val="TableParagraph"/>
              <w:ind w:left="0"/>
              <w:rPr>
                <w:rFonts w:ascii="Arial" w:hAnsi="Arial" w:cs="Arial"/>
                <w:sz w:val="18"/>
                <w:szCs w:val="18"/>
              </w:rPr>
            </w:pPr>
          </w:p>
        </w:tc>
      </w:tr>
      <w:tr w:rsidR="00CE32A7" w:rsidRPr="00341151" w14:paraId="443F789B" w14:textId="77777777" w:rsidTr="00CE32A7">
        <w:trPr>
          <w:trHeight w:val="435"/>
        </w:trPr>
        <w:tc>
          <w:tcPr>
            <w:tcW w:w="4005" w:type="dxa"/>
            <w:tcBorders>
              <w:top w:val="single" w:sz="4" w:space="0" w:color="auto"/>
              <w:bottom w:val="single" w:sz="4" w:space="0" w:color="auto"/>
            </w:tcBorders>
            <w:shd w:val="clear" w:color="auto" w:fill="FFFFFF"/>
            <w:vAlign w:val="center"/>
          </w:tcPr>
          <w:p w14:paraId="215C819A"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 xml:space="preserve">Cape </w:t>
            </w:r>
            <w:proofErr w:type="spellStart"/>
            <w:r w:rsidRPr="00BB37A7">
              <w:rPr>
                <w:rFonts w:ascii="Arial" w:hAnsi="Arial" w:cs="Arial"/>
                <w:sz w:val="18"/>
                <w:szCs w:val="18"/>
              </w:rPr>
              <w:t>Henlopen</w:t>
            </w:r>
            <w:proofErr w:type="spellEnd"/>
            <w:r w:rsidRPr="00BB37A7">
              <w:rPr>
                <w:rFonts w:ascii="Arial" w:hAnsi="Arial" w:cs="Arial"/>
                <w:sz w:val="18"/>
                <w:szCs w:val="18"/>
              </w:rPr>
              <w:t xml:space="preserve"> School District</w:t>
            </w:r>
          </w:p>
          <w:p w14:paraId="74E4A6F7"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1270 Kings Highway</w:t>
            </w:r>
          </w:p>
          <w:p w14:paraId="02E65083" w14:textId="77777777" w:rsidR="00CE32A7" w:rsidRPr="00BB37A7" w:rsidRDefault="00CE32A7" w:rsidP="00CE32A7">
            <w:pPr>
              <w:pStyle w:val="TableParagraph"/>
              <w:ind w:left="0"/>
              <w:rPr>
                <w:rFonts w:ascii="Arial" w:hAnsi="Arial" w:cs="Arial"/>
                <w:sz w:val="18"/>
                <w:szCs w:val="18"/>
              </w:rPr>
            </w:pPr>
            <w:r w:rsidRPr="00BB37A7">
              <w:rPr>
                <w:rFonts w:ascii="Arial" w:hAnsi="Arial" w:cs="Arial"/>
                <w:sz w:val="18"/>
                <w:szCs w:val="18"/>
              </w:rPr>
              <w:t>Lewes, DE 19958</w:t>
            </w:r>
          </w:p>
        </w:tc>
        <w:tc>
          <w:tcPr>
            <w:tcW w:w="1575" w:type="dxa"/>
            <w:tcBorders>
              <w:top w:val="single" w:sz="4" w:space="0" w:color="auto"/>
              <w:bottom w:val="single" w:sz="4" w:space="0" w:color="auto"/>
            </w:tcBorders>
            <w:shd w:val="clear" w:color="auto" w:fill="auto"/>
            <w:vAlign w:val="center"/>
          </w:tcPr>
          <w:p w14:paraId="58AB71F4" w14:textId="77777777" w:rsidR="00CE32A7" w:rsidRPr="00616F0B" w:rsidRDefault="00CE32A7" w:rsidP="00CE32A7">
            <w:pPr>
              <w:pStyle w:val="TableParagraph"/>
              <w:ind w:left="0"/>
              <w:rPr>
                <w:rFonts w:ascii="Arial" w:hAnsi="Arial" w:cs="Arial"/>
                <w:sz w:val="18"/>
                <w:szCs w:val="18"/>
              </w:rPr>
            </w:pPr>
          </w:p>
        </w:tc>
      </w:tr>
      <w:tr w:rsidR="00CE32A7" w:rsidRPr="00341151" w14:paraId="495617D4" w14:textId="77777777" w:rsidTr="00CE32A7">
        <w:trPr>
          <w:trHeight w:val="435"/>
        </w:trPr>
        <w:tc>
          <w:tcPr>
            <w:tcW w:w="4005" w:type="dxa"/>
            <w:tcBorders>
              <w:top w:val="single" w:sz="4" w:space="0" w:color="auto"/>
            </w:tcBorders>
            <w:shd w:val="clear" w:color="auto" w:fill="FFFFFF"/>
            <w:vAlign w:val="center"/>
          </w:tcPr>
          <w:p w14:paraId="5202B06B" w14:textId="77777777" w:rsidR="00CE32A7" w:rsidRDefault="00CE32A7" w:rsidP="00CE32A7">
            <w:pPr>
              <w:pStyle w:val="TableParagraph"/>
              <w:ind w:left="0"/>
              <w:rPr>
                <w:rFonts w:ascii="Arial" w:hAnsi="Arial" w:cs="Arial"/>
                <w:sz w:val="18"/>
                <w:szCs w:val="18"/>
              </w:rPr>
            </w:pPr>
            <w:r>
              <w:rPr>
                <w:rFonts w:ascii="Arial" w:hAnsi="Arial" w:cs="Arial"/>
                <w:sz w:val="18"/>
                <w:szCs w:val="18"/>
              </w:rPr>
              <w:t>Milford School District</w:t>
            </w:r>
          </w:p>
          <w:p w14:paraId="4C36D81B"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906 Lakeview Avenue</w:t>
            </w:r>
          </w:p>
          <w:p w14:paraId="6F0D587A" w14:textId="77777777" w:rsidR="00CE32A7" w:rsidRPr="00BB37A7" w:rsidRDefault="00CE32A7" w:rsidP="00CE32A7">
            <w:pPr>
              <w:pStyle w:val="TableParagraph"/>
              <w:ind w:left="0"/>
              <w:rPr>
                <w:rFonts w:ascii="Arial" w:hAnsi="Arial" w:cs="Arial"/>
                <w:sz w:val="18"/>
                <w:szCs w:val="18"/>
              </w:rPr>
            </w:pPr>
            <w:r w:rsidRPr="00BB37A7">
              <w:rPr>
                <w:rFonts w:ascii="Arial" w:hAnsi="Arial" w:cs="Arial"/>
                <w:sz w:val="18"/>
                <w:szCs w:val="18"/>
              </w:rPr>
              <w:t>Milford, DE 19963</w:t>
            </w:r>
          </w:p>
        </w:tc>
        <w:tc>
          <w:tcPr>
            <w:tcW w:w="1575" w:type="dxa"/>
            <w:tcBorders>
              <w:top w:val="single" w:sz="4" w:space="0" w:color="auto"/>
            </w:tcBorders>
            <w:shd w:val="clear" w:color="auto" w:fill="auto"/>
            <w:vAlign w:val="center"/>
          </w:tcPr>
          <w:p w14:paraId="6E0823E6" w14:textId="77777777" w:rsidR="00CE32A7" w:rsidRPr="00616F0B" w:rsidRDefault="00CE32A7" w:rsidP="00CE32A7">
            <w:pPr>
              <w:pStyle w:val="TableParagraph"/>
              <w:ind w:left="0"/>
              <w:rPr>
                <w:rFonts w:ascii="Arial" w:hAnsi="Arial" w:cs="Arial"/>
                <w:sz w:val="18"/>
                <w:szCs w:val="18"/>
              </w:rPr>
            </w:pPr>
          </w:p>
        </w:tc>
      </w:tr>
      <w:tr w:rsidR="00CE32A7" w:rsidRPr="00341151" w14:paraId="12BC949B" w14:textId="77777777" w:rsidTr="00CE32A7">
        <w:trPr>
          <w:trHeight w:val="435"/>
        </w:trPr>
        <w:tc>
          <w:tcPr>
            <w:tcW w:w="4005" w:type="dxa"/>
            <w:tcBorders>
              <w:top w:val="single" w:sz="4" w:space="0" w:color="auto"/>
              <w:bottom w:val="single" w:sz="4" w:space="0" w:color="auto"/>
            </w:tcBorders>
            <w:shd w:val="clear" w:color="auto" w:fill="FFFFFF"/>
            <w:vAlign w:val="center"/>
          </w:tcPr>
          <w:p w14:paraId="06DD01CD"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Seaford School District</w:t>
            </w:r>
          </w:p>
          <w:p w14:paraId="679ACA85" w14:textId="77777777" w:rsidR="00CE32A7" w:rsidRDefault="00CE32A7" w:rsidP="00CE32A7">
            <w:pPr>
              <w:pStyle w:val="TableParagraph"/>
              <w:ind w:left="0"/>
              <w:rPr>
                <w:rFonts w:ascii="Arial" w:hAnsi="Arial" w:cs="Arial"/>
                <w:sz w:val="18"/>
                <w:szCs w:val="18"/>
              </w:rPr>
            </w:pPr>
            <w:r w:rsidRPr="00BB37A7">
              <w:rPr>
                <w:rFonts w:ascii="Arial" w:hAnsi="Arial" w:cs="Arial"/>
                <w:sz w:val="18"/>
                <w:szCs w:val="18"/>
              </w:rPr>
              <w:t>390 North Market Street Ext.</w:t>
            </w:r>
          </w:p>
          <w:p w14:paraId="3858413C" w14:textId="77777777" w:rsidR="00CE32A7" w:rsidRPr="00BB37A7" w:rsidRDefault="00CE32A7" w:rsidP="00CE32A7">
            <w:pPr>
              <w:pStyle w:val="TableParagraph"/>
              <w:ind w:left="0"/>
              <w:rPr>
                <w:rFonts w:ascii="Arial" w:hAnsi="Arial" w:cs="Arial"/>
                <w:sz w:val="18"/>
                <w:szCs w:val="18"/>
              </w:rPr>
            </w:pPr>
            <w:r w:rsidRPr="00BB37A7">
              <w:rPr>
                <w:rFonts w:ascii="Arial" w:hAnsi="Arial" w:cs="Arial"/>
                <w:sz w:val="18"/>
                <w:szCs w:val="18"/>
              </w:rPr>
              <w:t>Seaford, DE 19973</w:t>
            </w:r>
          </w:p>
        </w:tc>
        <w:tc>
          <w:tcPr>
            <w:tcW w:w="1575" w:type="dxa"/>
            <w:tcBorders>
              <w:top w:val="single" w:sz="4" w:space="0" w:color="auto"/>
              <w:bottom w:val="single" w:sz="4" w:space="0" w:color="auto"/>
            </w:tcBorders>
            <w:shd w:val="clear" w:color="auto" w:fill="auto"/>
            <w:vAlign w:val="center"/>
          </w:tcPr>
          <w:p w14:paraId="2CCB6A5F" w14:textId="77777777" w:rsidR="00CE32A7" w:rsidRPr="00616F0B" w:rsidRDefault="00CE32A7" w:rsidP="00CE32A7">
            <w:pPr>
              <w:pStyle w:val="TableParagraph"/>
              <w:ind w:left="0"/>
              <w:rPr>
                <w:rFonts w:ascii="Arial" w:hAnsi="Arial" w:cs="Arial"/>
                <w:sz w:val="18"/>
                <w:szCs w:val="18"/>
              </w:rPr>
            </w:pPr>
          </w:p>
        </w:tc>
      </w:tr>
      <w:tr w:rsidR="00CE32A7" w:rsidRPr="00341151" w14:paraId="790A0700" w14:textId="77777777" w:rsidTr="00CE32A7">
        <w:trPr>
          <w:trHeight w:val="435"/>
        </w:trPr>
        <w:tc>
          <w:tcPr>
            <w:tcW w:w="4005" w:type="dxa"/>
            <w:tcBorders>
              <w:top w:val="single" w:sz="4" w:space="0" w:color="auto"/>
              <w:bottom w:val="single" w:sz="4" w:space="0" w:color="auto"/>
            </w:tcBorders>
            <w:shd w:val="clear" w:color="auto" w:fill="FFFFFF"/>
            <w:vAlign w:val="center"/>
          </w:tcPr>
          <w:p w14:paraId="679DCCD5" w14:textId="77777777" w:rsidR="00CE32A7" w:rsidRDefault="00CE32A7" w:rsidP="00CE32A7">
            <w:pPr>
              <w:pStyle w:val="TableParagraph"/>
              <w:ind w:left="0"/>
              <w:rPr>
                <w:rFonts w:ascii="Arial" w:hAnsi="Arial" w:cs="Arial"/>
                <w:sz w:val="18"/>
                <w:szCs w:val="18"/>
              </w:rPr>
            </w:pPr>
            <w:r w:rsidRPr="004312BD">
              <w:rPr>
                <w:rFonts w:ascii="Arial" w:hAnsi="Arial" w:cs="Arial"/>
                <w:sz w:val="18"/>
                <w:szCs w:val="18"/>
              </w:rPr>
              <w:t>Smyrna School District</w:t>
            </w:r>
          </w:p>
          <w:p w14:paraId="2BC7EF02" w14:textId="77777777" w:rsidR="00CE32A7" w:rsidRDefault="00CE32A7" w:rsidP="00CE32A7">
            <w:pPr>
              <w:pStyle w:val="TableParagraph"/>
              <w:ind w:left="0"/>
              <w:rPr>
                <w:rFonts w:ascii="Arial" w:hAnsi="Arial" w:cs="Arial"/>
                <w:sz w:val="18"/>
                <w:szCs w:val="18"/>
              </w:rPr>
            </w:pPr>
            <w:r w:rsidRPr="004312BD">
              <w:rPr>
                <w:rFonts w:ascii="Arial" w:hAnsi="Arial" w:cs="Arial"/>
                <w:sz w:val="18"/>
                <w:szCs w:val="18"/>
              </w:rPr>
              <w:t>82 Monrovia Ave.</w:t>
            </w:r>
          </w:p>
          <w:p w14:paraId="3028DB39" w14:textId="77777777" w:rsidR="00CE32A7" w:rsidRPr="00BB37A7" w:rsidRDefault="00CE32A7" w:rsidP="00CE32A7">
            <w:pPr>
              <w:pStyle w:val="TableParagraph"/>
              <w:ind w:left="0"/>
              <w:rPr>
                <w:rFonts w:ascii="Arial" w:hAnsi="Arial" w:cs="Arial"/>
                <w:sz w:val="18"/>
                <w:szCs w:val="18"/>
              </w:rPr>
            </w:pPr>
            <w:r w:rsidRPr="004312BD">
              <w:rPr>
                <w:rFonts w:ascii="Arial" w:hAnsi="Arial" w:cs="Arial"/>
                <w:sz w:val="18"/>
                <w:szCs w:val="18"/>
              </w:rPr>
              <w:t>Smyrna, DE 19977</w:t>
            </w:r>
          </w:p>
        </w:tc>
        <w:tc>
          <w:tcPr>
            <w:tcW w:w="1575" w:type="dxa"/>
            <w:tcBorders>
              <w:top w:val="single" w:sz="4" w:space="0" w:color="auto"/>
              <w:bottom w:val="single" w:sz="4" w:space="0" w:color="auto"/>
            </w:tcBorders>
            <w:shd w:val="clear" w:color="auto" w:fill="auto"/>
            <w:vAlign w:val="center"/>
          </w:tcPr>
          <w:p w14:paraId="2A6ED5BA" w14:textId="77777777" w:rsidR="00CE32A7" w:rsidRPr="00616F0B" w:rsidRDefault="00CE32A7" w:rsidP="00CE32A7">
            <w:pPr>
              <w:pStyle w:val="TableParagraph"/>
              <w:ind w:left="0"/>
              <w:rPr>
                <w:rFonts w:ascii="Arial" w:hAnsi="Arial" w:cs="Arial"/>
                <w:sz w:val="18"/>
                <w:szCs w:val="18"/>
              </w:rPr>
            </w:pPr>
          </w:p>
        </w:tc>
      </w:tr>
      <w:tr w:rsidR="00CE32A7" w:rsidRPr="00341151" w14:paraId="375023B9" w14:textId="77777777" w:rsidTr="00CE32A7">
        <w:trPr>
          <w:trHeight w:val="435"/>
        </w:trPr>
        <w:tc>
          <w:tcPr>
            <w:tcW w:w="4005" w:type="dxa"/>
            <w:tcBorders>
              <w:top w:val="single" w:sz="4" w:space="0" w:color="auto"/>
              <w:bottom w:val="single" w:sz="4" w:space="0" w:color="auto"/>
            </w:tcBorders>
            <w:shd w:val="clear" w:color="auto" w:fill="FFFFFF"/>
            <w:vAlign w:val="center"/>
          </w:tcPr>
          <w:p w14:paraId="10BB8151" w14:textId="77777777" w:rsidR="00CE32A7" w:rsidRDefault="00CE32A7" w:rsidP="00CE32A7">
            <w:pPr>
              <w:pStyle w:val="TableParagraph"/>
              <w:ind w:left="0"/>
              <w:rPr>
                <w:rFonts w:ascii="Arial" w:hAnsi="Arial" w:cs="Arial"/>
                <w:sz w:val="18"/>
                <w:szCs w:val="18"/>
              </w:rPr>
            </w:pPr>
            <w:proofErr w:type="spellStart"/>
            <w:r w:rsidRPr="004312BD">
              <w:rPr>
                <w:rFonts w:ascii="Arial" w:hAnsi="Arial" w:cs="Arial"/>
                <w:sz w:val="18"/>
                <w:szCs w:val="18"/>
              </w:rPr>
              <w:t>Appoquinimink</w:t>
            </w:r>
            <w:proofErr w:type="spellEnd"/>
            <w:r w:rsidRPr="004312BD">
              <w:rPr>
                <w:rFonts w:ascii="Arial" w:hAnsi="Arial" w:cs="Arial"/>
                <w:sz w:val="18"/>
                <w:szCs w:val="18"/>
              </w:rPr>
              <w:t xml:space="preserve"> School District</w:t>
            </w:r>
          </w:p>
          <w:p w14:paraId="045CACB6" w14:textId="77777777" w:rsidR="00CE32A7" w:rsidRPr="00844BA2" w:rsidRDefault="00CE32A7" w:rsidP="00CE32A7">
            <w:pPr>
              <w:pStyle w:val="TableParagraph"/>
              <w:ind w:left="0"/>
              <w:rPr>
                <w:rFonts w:ascii="Arial" w:hAnsi="Arial" w:cs="Arial"/>
                <w:sz w:val="18"/>
                <w:szCs w:val="18"/>
              </w:rPr>
            </w:pPr>
            <w:r w:rsidRPr="00844BA2">
              <w:rPr>
                <w:rFonts w:ascii="Arial" w:hAnsi="Arial" w:cs="Arial"/>
                <w:sz w:val="18"/>
                <w:szCs w:val="18"/>
              </w:rPr>
              <w:t>118 S. Sixth Street</w:t>
            </w:r>
          </w:p>
          <w:p w14:paraId="725A8301" w14:textId="77777777" w:rsidR="00CE32A7" w:rsidRPr="004312BD" w:rsidRDefault="00CE32A7" w:rsidP="00CE32A7">
            <w:pPr>
              <w:pStyle w:val="TableParagraph"/>
              <w:ind w:left="0"/>
              <w:rPr>
                <w:rFonts w:ascii="Arial" w:hAnsi="Arial" w:cs="Arial"/>
                <w:sz w:val="18"/>
                <w:szCs w:val="18"/>
              </w:rPr>
            </w:pPr>
            <w:r w:rsidRPr="00844BA2">
              <w:rPr>
                <w:rFonts w:ascii="Arial" w:hAnsi="Arial" w:cs="Arial"/>
                <w:sz w:val="18"/>
                <w:szCs w:val="18"/>
              </w:rPr>
              <w:t>Odessa, DE 19730</w:t>
            </w:r>
          </w:p>
        </w:tc>
        <w:tc>
          <w:tcPr>
            <w:tcW w:w="1575" w:type="dxa"/>
            <w:tcBorders>
              <w:top w:val="single" w:sz="4" w:space="0" w:color="auto"/>
              <w:bottom w:val="single" w:sz="4" w:space="0" w:color="auto"/>
            </w:tcBorders>
            <w:shd w:val="clear" w:color="auto" w:fill="auto"/>
            <w:vAlign w:val="center"/>
          </w:tcPr>
          <w:p w14:paraId="1560A2BF" w14:textId="77777777" w:rsidR="00CE32A7" w:rsidRPr="00616F0B" w:rsidRDefault="00CE32A7" w:rsidP="00CE32A7">
            <w:pPr>
              <w:pStyle w:val="TableParagraph"/>
              <w:ind w:left="0"/>
              <w:rPr>
                <w:rFonts w:ascii="Arial" w:hAnsi="Arial" w:cs="Arial"/>
                <w:sz w:val="18"/>
                <w:szCs w:val="18"/>
              </w:rPr>
            </w:pPr>
          </w:p>
        </w:tc>
      </w:tr>
      <w:tr w:rsidR="00CE32A7" w:rsidRPr="00341151" w14:paraId="0E01E705" w14:textId="77777777" w:rsidTr="00CE32A7">
        <w:trPr>
          <w:trHeight w:val="435"/>
        </w:trPr>
        <w:tc>
          <w:tcPr>
            <w:tcW w:w="4005" w:type="dxa"/>
            <w:tcBorders>
              <w:top w:val="single" w:sz="4" w:space="0" w:color="auto"/>
              <w:bottom w:val="single" w:sz="4" w:space="0" w:color="auto"/>
            </w:tcBorders>
            <w:shd w:val="clear" w:color="auto" w:fill="FFFFFF"/>
            <w:vAlign w:val="center"/>
          </w:tcPr>
          <w:p w14:paraId="18773BBD" w14:textId="77777777" w:rsidR="00CE32A7" w:rsidRDefault="00CE32A7" w:rsidP="00CE32A7">
            <w:pPr>
              <w:pStyle w:val="TableParagraph"/>
              <w:ind w:left="0"/>
              <w:rPr>
                <w:rFonts w:ascii="Arial" w:hAnsi="Arial" w:cs="Arial"/>
                <w:sz w:val="18"/>
                <w:szCs w:val="18"/>
              </w:rPr>
            </w:pPr>
            <w:r w:rsidRPr="004312BD">
              <w:rPr>
                <w:rFonts w:ascii="Arial" w:hAnsi="Arial" w:cs="Arial"/>
                <w:sz w:val="18"/>
                <w:szCs w:val="18"/>
              </w:rPr>
              <w:t>Brandywine School District</w:t>
            </w:r>
          </w:p>
          <w:p w14:paraId="313B78BC" w14:textId="77777777" w:rsidR="00CE32A7" w:rsidRDefault="00CE32A7" w:rsidP="00CE32A7">
            <w:pPr>
              <w:pStyle w:val="TableParagraph"/>
              <w:ind w:left="0"/>
              <w:rPr>
                <w:rFonts w:ascii="Arial" w:hAnsi="Arial" w:cs="Arial"/>
                <w:sz w:val="18"/>
                <w:szCs w:val="18"/>
              </w:rPr>
            </w:pPr>
            <w:r w:rsidRPr="004312BD">
              <w:rPr>
                <w:rFonts w:ascii="Arial" w:hAnsi="Arial" w:cs="Arial"/>
                <w:sz w:val="18"/>
                <w:szCs w:val="18"/>
              </w:rPr>
              <w:t>1311 Brandywine Blvd.</w:t>
            </w:r>
          </w:p>
          <w:p w14:paraId="51938B2E" w14:textId="77777777" w:rsidR="00CE32A7" w:rsidRPr="004312BD" w:rsidRDefault="00CE32A7" w:rsidP="00CE32A7">
            <w:pPr>
              <w:pStyle w:val="TableParagraph"/>
              <w:ind w:left="0"/>
              <w:rPr>
                <w:rFonts w:ascii="Arial" w:hAnsi="Arial" w:cs="Arial"/>
                <w:sz w:val="18"/>
                <w:szCs w:val="18"/>
              </w:rPr>
            </w:pPr>
            <w:r w:rsidRPr="004312BD">
              <w:rPr>
                <w:rFonts w:ascii="Arial" w:hAnsi="Arial" w:cs="Arial"/>
                <w:sz w:val="18"/>
                <w:szCs w:val="18"/>
              </w:rPr>
              <w:t>Wilmington, DE 19809</w:t>
            </w:r>
          </w:p>
        </w:tc>
        <w:tc>
          <w:tcPr>
            <w:tcW w:w="1575" w:type="dxa"/>
            <w:tcBorders>
              <w:top w:val="single" w:sz="4" w:space="0" w:color="auto"/>
              <w:bottom w:val="single" w:sz="4" w:space="0" w:color="auto"/>
            </w:tcBorders>
            <w:shd w:val="clear" w:color="auto" w:fill="auto"/>
            <w:vAlign w:val="center"/>
          </w:tcPr>
          <w:p w14:paraId="244F371C" w14:textId="77777777" w:rsidR="00CE32A7" w:rsidRPr="00616F0B" w:rsidRDefault="00CE32A7" w:rsidP="00CE32A7">
            <w:pPr>
              <w:pStyle w:val="TableParagraph"/>
              <w:ind w:left="0"/>
              <w:rPr>
                <w:rFonts w:ascii="Arial" w:hAnsi="Arial" w:cs="Arial"/>
                <w:sz w:val="18"/>
                <w:szCs w:val="18"/>
              </w:rPr>
            </w:pPr>
          </w:p>
        </w:tc>
      </w:tr>
      <w:tr w:rsidR="00CE32A7" w:rsidRPr="00341151" w14:paraId="7367E183" w14:textId="77777777" w:rsidTr="00CE32A7">
        <w:trPr>
          <w:trHeight w:val="435"/>
        </w:trPr>
        <w:tc>
          <w:tcPr>
            <w:tcW w:w="4005" w:type="dxa"/>
            <w:tcBorders>
              <w:top w:val="single" w:sz="4" w:space="0" w:color="auto"/>
              <w:bottom w:val="single" w:sz="4" w:space="0" w:color="auto"/>
            </w:tcBorders>
            <w:shd w:val="clear" w:color="auto" w:fill="FFFFFF"/>
            <w:vAlign w:val="center"/>
          </w:tcPr>
          <w:p w14:paraId="7A0866FB" w14:textId="77777777" w:rsidR="00CE32A7" w:rsidRDefault="00CE32A7" w:rsidP="00CE32A7">
            <w:pPr>
              <w:pStyle w:val="TableParagraph"/>
              <w:ind w:left="0"/>
              <w:rPr>
                <w:rFonts w:ascii="Arial" w:hAnsi="Arial" w:cs="Arial"/>
                <w:sz w:val="18"/>
                <w:szCs w:val="18"/>
              </w:rPr>
            </w:pPr>
            <w:r w:rsidRPr="004312BD">
              <w:rPr>
                <w:rFonts w:ascii="Arial" w:hAnsi="Arial" w:cs="Arial"/>
                <w:sz w:val="18"/>
                <w:szCs w:val="18"/>
              </w:rPr>
              <w:t>Red Clay Consolidated School District</w:t>
            </w:r>
          </w:p>
          <w:p w14:paraId="2F63A5EB" w14:textId="77777777" w:rsidR="00CE32A7" w:rsidRPr="004312BD" w:rsidRDefault="00CE32A7" w:rsidP="00CE32A7">
            <w:pPr>
              <w:pStyle w:val="TableParagraph"/>
              <w:ind w:left="0"/>
              <w:rPr>
                <w:rFonts w:ascii="Arial" w:hAnsi="Arial" w:cs="Arial"/>
                <w:sz w:val="18"/>
                <w:szCs w:val="18"/>
              </w:rPr>
            </w:pPr>
            <w:r w:rsidRPr="004312BD">
              <w:rPr>
                <w:rFonts w:ascii="Arial" w:hAnsi="Arial" w:cs="Arial"/>
                <w:sz w:val="18"/>
                <w:szCs w:val="18"/>
              </w:rPr>
              <w:t>1502 Spruce Avenue</w:t>
            </w:r>
          </w:p>
          <w:p w14:paraId="1CE0F03B" w14:textId="77777777" w:rsidR="00CE32A7" w:rsidRPr="004312BD" w:rsidRDefault="00CE32A7" w:rsidP="00CE32A7">
            <w:pPr>
              <w:pStyle w:val="TableParagraph"/>
              <w:ind w:left="0"/>
              <w:rPr>
                <w:rFonts w:ascii="Arial" w:hAnsi="Arial" w:cs="Arial"/>
                <w:sz w:val="18"/>
                <w:szCs w:val="18"/>
              </w:rPr>
            </w:pPr>
            <w:r w:rsidRPr="004312BD">
              <w:rPr>
                <w:rFonts w:ascii="Arial" w:hAnsi="Arial" w:cs="Arial"/>
                <w:sz w:val="18"/>
                <w:szCs w:val="18"/>
              </w:rPr>
              <w:t>Wilmington, DE 19805</w:t>
            </w:r>
          </w:p>
        </w:tc>
        <w:tc>
          <w:tcPr>
            <w:tcW w:w="1575" w:type="dxa"/>
            <w:tcBorders>
              <w:top w:val="single" w:sz="4" w:space="0" w:color="auto"/>
              <w:bottom w:val="single" w:sz="4" w:space="0" w:color="auto"/>
            </w:tcBorders>
            <w:shd w:val="clear" w:color="auto" w:fill="auto"/>
            <w:vAlign w:val="center"/>
          </w:tcPr>
          <w:p w14:paraId="7C6CC253" w14:textId="77777777" w:rsidR="00CE32A7" w:rsidRPr="00616F0B" w:rsidRDefault="00CE32A7" w:rsidP="00CE32A7">
            <w:pPr>
              <w:pStyle w:val="TableParagraph"/>
              <w:ind w:left="0"/>
              <w:rPr>
                <w:rFonts w:ascii="Arial" w:hAnsi="Arial" w:cs="Arial"/>
                <w:sz w:val="18"/>
                <w:szCs w:val="18"/>
              </w:rPr>
            </w:pPr>
          </w:p>
        </w:tc>
      </w:tr>
      <w:tr w:rsidR="00CE32A7" w:rsidRPr="00341151" w14:paraId="029859A1" w14:textId="77777777" w:rsidTr="00CE32A7">
        <w:trPr>
          <w:trHeight w:val="435"/>
        </w:trPr>
        <w:tc>
          <w:tcPr>
            <w:tcW w:w="4005" w:type="dxa"/>
            <w:tcBorders>
              <w:top w:val="single" w:sz="4" w:space="0" w:color="auto"/>
              <w:bottom w:val="single" w:sz="4" w:space="0" w:color="auto"/>
            </w:tcBorders>
            <w:shd w:val="clear" w:color="auto" w:fill="FFFFFF"/>
            <w:vAlign w:val="center"/>
          </w:tcPr>
          <w:p w14:paraId="73434610" w14:textId="77777777" w:rsidR="00CE32A7" w:rsidRDefault="00CE32A7" w:rsidP="00CE32A7">
            <w:pPr>
              <w:pStyle w:val="TableParagraph"/>
              <w:ind w:left="0"/>
              <w:rPr>
                <w:rFonts w:ascii="Arial" w:hAnsi="Arial" w:cs="Arial"/>
                <w:sz w:val="18"/>
                <w:szCs w:val="18"/>
              </w:rPr>
            </w:pPr>
            <w:r w:rsidRPr="004312BD">
              <w:rPr>
                <w:rFonts w:ascii="Arial" w:hAnsi="Arial" w:cs="Arial"/>
                <w:sz w:val="18"/>
                <w:szCs w:val="18"/>
              </w:rPr>
              <w:t>Christina School District</w:t>
            </w:r>
          </w:p>
          <w:p w14:paraId="76E3CE2B" w14:textId="77777777" w:rsidR="00CE32A7" w:rsidRPr="00844BA2" w:rsidRDefault="00CE32A7" w:rsidP="00CE32A7">
            <w:pPr>
              <w:pStyle w:val="TableParagraph"/>
              <w:ind w:left="0"/>
              <w:rPr>
                <w:rFonts w:ascii="Arial" w:hAnsi="Arial" w:cs="Arial"/>
                <w:sz w:val="18"/>
                <w:szCs w:val="18"/>
              </w:rPr>
            </w:pPr>
            <w:r w:rsidRPr="00844BA2">
              <w:rPr>
                <w:rFonts w:ascii="Arial" w:hAnsi="Arial" w:cs="Arial"/>
                <w:sz w:val="18"/>
                <w:szCs w:val="18"/>
              </w:rPr>
              <w:t>600 N. Lombard Street</w:t>
            </w:r>
          </w:p>
          <w:p w14:paraId="1C69394A" w14:textId="77777777" w:rsidR="00CE32A7" w:rsidRPr="004312BD" w:rsidRDefault="00CE32A7" w:rsidP="00CE32A7">
            <w:pPr>
              <w:pStyle w:val="TableParagraph"/>
              <w:ind w:left="0"/>
              <w:rPr>
                <w:rFonts w:ascii="Arial" w:hAnsi="Arial" w:cs="Arial"/>
                <w:sz w:val="18"/>
                <w:szCs w:val="18"/>
              </w:rPr>
            </w:pPr>
            <w:r w:rsidRPr="00844BA2">
              <w:rPr>
                <w:rFonts w:ascii="Arial" w:hAnsi="Arial" w:cs="Arial"/>
                <w:sz w:val="18"/>
                <w:szCs w:val="18"/>
              </w:rPr>
              <w:t>Wilmington, DE 19801</w:t>
            </w:r>
          </w:p>
        </w:tc>
        <w:tc>
          <w:tcPr>
            <w:tcW w:w="1575" w:type="dxa"/>
            <w:tcBorders>
              <w:top w:val="single" w:sz="4" w:space="0" w:color="auto"/>
              <w:bottom w:val="single" w:sz="4" w:space="0" w:color="auto"/>
            </w:tcBorders>
            <w:shd w:val="clear" w:color="auto" w:fill="auto"/>
            <w:vAlign w:val="center"/>
          </w:tcPr>
          <w:p w14:paraId="0BC7947E" w14:textId="77777777" w:rsidR="00CE32A7" w:rsidRPr="00616F0B" w:rsidRDefault="00CE32A7" w:rsidP="00CE32A7">
            <w:pPr>
              <w:pStyle w:val="TableParagraph"/>
              <w:ind w:left="0"/>
              <w:rPr>
                <w:rFonts w:ascii="Arial" w:hAnsi="Arial" w:cs="Arial"/>
                <w:sz w:val="18"/>
                <w:szCs w:val="18"/>
              </w:rPr>
            </w:pPr>
          </w:p>
        </w:tc>
      </w:tr>
      <w:tr w:rsidR="00CE32A7" w:rsidRPr="00341151" w14:paraId="37E1E039" w14:textId="77777777" w:rsidTr="00CE32A7">
        <w:trPr>
          <w:trHeight w:val="435"/>
        </w:trPr>
        <w:tc>
          <w:tcPr>
            <w:tcW w:w="4005" w:type="dxa"/>
            <w:tcBorders>
              <w:top w:val="single" w:sz="4" w:space="0" w:color="auto"/>
              <w:bottom w:val="single" w:sz="4" w:space="0" w:color="auto"/>
            </w:tcBorders>
            <w:shd w:val="clear" w:color="auto" w:fill="FFFFFF"/>
            <w:vAlign w:val="center"/>
          </w:tcPr>
          <w:p w14:paraId="29B31D47" w14:textId="77777777" w:rsidR="00CE32A7" w:rsidRDefault="00CE32A7" w:rsidP="00CE32A7">
            <w:pPr>
              <w:pStyle w:val="TableParagraph"/>
              <w:ind w:left="0"/>
              <w:rPr>
                <w:rFonts w:ascii="Arial" w:hAnsi="Arial" w:cs="Arial"/>
                <w:sz w:val="18"/>
                <w:szCs w:val="18"/>
              </w:rPr>
            </w:pPr>
            <w:r w:rsidRPr="00890D50">
              <w:rPr>
                <w:rFonts w:ascii="Arial" w:hAnsi="Arial" w:cs="Arial"/>
                <w:sz w:val="18"/>
                <w:szCs w:val="18"/>
              </w:rPr>
              <w:t>Colonial School District</w:t>
            </w:r>
          </w:p>
          <w:p w14:paraId="5776F194" w14:textId="77777777" w:rsidR="00CE32A7" w:rsidRDefault="00CE32A7" w:rsidP="00CE32A7">
            <w:pPr>
              <w:pStyle w:val="TableParagraph"/>
              <w:ind w:left="0"/>
              <w:rPr>
                <w:rFonts w:ascii="Arial" w:hAnsi="Arial" w:cs="Arial"/>
                <w:sz w:val="18"/>
                <w:szCs w:val="18"/>
              </w:rPr>
            </w:pPr>
            <w:r w:rsidRPr="00890D50">
              <w:rPr>
                <w:rFonts w:ascii="Arial" w:hAnsi="Arial" w:cs="Arial"/>
                <w:sz w:val="18"/>
                <w:szCs w:val="18"/>
              </w:rPr>
              <w:t>318 East Basin Road</w:t>
            </w:r>
          </w:p>
          <w:p w14:paraId="091EA1DF" w14:textId="77777777" w:rsidR="00CE32A7" w:rsidRPr="004312BD" w:rsidRDefault="00CE32A7" w:rsidP="00CE32A7">
            <w:pPr>
              <w:pStyle w:val="TableParagraph"/>
              <w:ind w:left="0"/>
              <w:rPr>
                <w:rFonts w:ascii="Arial" w:hAnsi="Arial" w:cs="Arial"/>
                <w:sz w:val="18"/>
                <w:szCs w:val="18"/>
              </w:rPr>
            </w:pPr>
            <w:r w:rsidRPr="00890D50">
              <w:rPr>
                <w:rFonts w:ascii="Arial" w:hAnsi="Arial" w:cs="Arial"/>
                <w:sz w:val="18"/>
                <w:szCs w:val="18"/>
              </w:rPr>
              <w:t>New Castle, DE 19720</w:t>
            </w:r>
          </w:p>
        </w:tc>
        <w:tc>
          <w:tcPr>
            <w:tcW w:w="1575" w:type="dxa"/>
            <w:tcBorders>
              <w:top w:val="single" w:sz="4" w:space="0" w:color="auto"/>
              <w:bottom w:val="single" w:sz="4" w:space="0" w:color="auto"/>
            </w:tcBorders>
            <w:shd w:val="clear" w:color="auto" w:fill="auto"/>
            <w:vAlign w:val="center"/>
          </w:tcPr>
          <w:p w14:paraId="77349916" w14:textId="77777777" w:rsidR="00CE32A7" w:rsidRPr="00616F0B" w:rsidRDefault="00CE32A7" w:rsidP="00CE32A7">
            <w:pPr>
              <w:pStyle w:val="TableParagraph"/>
              <w:ind w:left="0"/>
              <w:rPr>
                <w:rFonts w:ascii="Arial" w:hAnsi="Arial" w:cs="Arial"/>
                <w:sz w:val="18"/>
                <w:szCs w:val="18"/>
              </w:rPr>
            </w:pPr>
          </w:p>
        </w:tc>
      </w:tr>
      <w:tr w:rsidR="00CE32A7" w:rsidRPr="00341151" w14:paraId="79734507" w14:textId="77777777" w:rsidTr="00CE32A7">
        <w:trPr>
          <w:trHeight w:val="435"/>
        </w:trPr>
        <w:tc>
          <w:tcPr>
            <w:tcW w:w="4005" w:type="dxa"/>
            <w:tcBorders>
              <w:top w:val="single" w:sz="4" w:space="0" w:color="auto"/>
              <w:bottom w:val="single" w:sz="4" w:space="0" w:color="auto"/>
            </w:tcBorders>
            <w:shd w:val="clear" w:color="auto" w:fill="FFFFFF"/>
            <w:vAlign w:val="center"/>
          </w:tcPr>
          <w:p w14:paraId="6F63AEAA"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Woodbridge School District</w:t>
            </w:r>
          </w:p>
          <w:p w14:paraId="5E30A64B"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16359 Sussex Highway</w:t>
            </w:r>
          </w:p>
          <w:p w14:paraId="0B6872E0" w14:textId="77777777" w:rsidR="00CE32A7" w:rsidRPr="00890D50" w:rsidRDefault="00CE32A7" w:rsidP="00CE32A7">
            <w:pPr>
              <w:pStyle w:val="TableParagraph"/>
              <w:ind w:left="0"/>
              <w:rPr>
                <w:rFonts w:ascii="Arial" w:hAnsi="Arial" w:cs="Arial"/>
                <w:sz w:val="18"/>
                <w:szCs w:val="18"/>
              </w:rPr>
            </w:pPr>
            <w:r w:rsidRPr="0033668F">
              <w:rPr>
                <w:rFonts w:ascii="Arial" w:hAnsi="Arial" w:cs="Arial"/>
                <w:sz w:val="18"/>
                <w:szCs w:val="18"/>
              </w:rPr>
              <w:t>Bridgeville, DE 19933</w:t>
            </w:r>
          </w:p>
        </w:tc>
        <w:tc>
          <w:tcPr>
            <w:tcW w:w="1575" w:type="dxa"/>
            <w:tcBorders>
              <w:top w:val="single" w:sz="4" w:space="0" w:color="auto"/>
              <w:bottom w:val="single" w:sz="4" w:space="0" w:color="auto"/>
            </w:tcBorders>
            <w:shd w:val="clear" w:color="auto" w:fill="auto"/>
            <w:vAlign w:val="center"/>
          </w:tcPr>
          <w:p w14:paraId="410BB6DE" w14:textId="77777777" w:rsidR="00CE32A7" w:rsidRPr="00616F0B" w:rsidRDefault="00CE32A7" w:rsidP="00CE32A7">
            <w:pPr>
              <w:pStyle w:val="TableParagraph"/>
              <w:ind w:left="0"/>
              <w:rPr>
                <w:rFonts w:ascii="Arial" w:hAnsi="Arial" w:cs="Arial"/>
                <w:sz w:val="18"/>
                <w:szCs w:val="18"/>
              </w:rPr>
            </w:pPr>
          </w:p>
        </w:tc>
      </w:tr>
      <w:tr w:rsidR="00CE32A7" w:rsidRPr="00341151" w14:paraId="04FC4BE2" w14:textId="77777777" w:rsidTr="00CE32A7">
        <w:trPr>
          <w:trHeight w:val="435"/>
        </w:trPr>
        <w:tc>
          <w:tcPr>
            <w:tcW w:w="4005" w:type="dxa"/>
            <w:tcBorders>
              <w:top w:val="single" w:sz="4" w:space="0" w:color="auto"/>
              <w:bottom w:val="single" w:sz="4" w:space="0" w:color="auto"/>
            </w:tcBorders>
            <w:shd w:val="clear" w:color="auto" w:fill="FFFFFF"/>
            <w:vAlign w:val="center"/>
          </w:tcPr>
          <w:p w14:paraId="562C0A56"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Indian River School District</w:t>
            </w:r>
          </w:p>
          <w:p w14:paraId="72957B8D"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31 Hosier Street</w:t>
            </w:r>
          </w:p>
          <w:p w14:paraId="6BB1C928" w14:textId="77777777" w:rsidR="00CE32A7" w:rsidRPr="0033668F" w:rsidRDefault="00CE32A7" w:rsidP="00CE32A7">
            <w:pPr>
              <w:pStyle w:val="TableParagraph"/>
              <w:ind w:left="0"/>
              <w:rPr>
                <w:rFonts w:ascii="Arial" w:hAnsi="Arial" w:cs="Arial"/>
                <w:sz w:val="18"/>
                <w:szCs w:val="18"/>
              </w:rPr>
            </w:pPr>
            <w:r w:rsidRPr="0033668F">
              <w:rPr>
                <w:rFonts w:ascii="Arial" w:hAnsi="Arial" w:cs="Arial"/>
                <w:sz w:val="18"/>
                <w:szCs w:val="18"/>
              </w:rPr>
              <w:t>Selbyville, DE 19975</w:t>
            </w:r>
          </w:p>
        </w:tc>
        <w:tc>
          <w:tcPr>
            <w:tcW w:w="1575" w:type="dxa"/>
            <w:tcBorders>
              <w:top w:val="single" w:sz="4" w:space="0" w:color="auto"/>
              <w:bottom w:val="single" w:sz="4" w:space="0" w:color="auto"/>
            </w:tcBorders>
            <w:shd w:val="clear" w:color="auto" w:fill="auto"/>
            <w:vAlign w:val="center"/>
          </w:tcPr>
          <w:p w14:paraId="1E7EE3F7" w14:textId="77777777" w:rsidR="00CE32A7" w:rsidRPr="00616F0B" w:rsidRDefault="00CE32A7" w:rsidP="00CE32A7">
            <w:pPr>
              <w:pStyle w:val="TableParagraph"/>
              <w:ind w:left="0"/>
              <w:rPr>
                <w:rFonts w:ascii="Arial" w:hAnsi="Arial" w:cs="Arial"/>
                <w:sz w:val="18"/>
                <w:szCs w:val="18"/>
              </w:rPr>
            </w:pPr>
          </w:p>
        </w:tc>
      </w:tr>
      <w:tr w:rsidR="00CE32A7" w:rsidRPr="00341151" w14:paraId="07F72706" w14:textId="77777777" w:rsidTr="00CE32A7">
        <w:trPr>
          <w:trHeight w:val="435"/>
        </w:trPr>
        <w:tc>
          <w:tcPr>
            <w:tcW w:w="4005" w:type="dxa"/>
            <w:tcBorders>
              <w:top w:val="single" w:sz="4" w:space="0" w:color="auto"/>
              <w:bottom w:val="single" w:sz="4" w:space="0" w:color="auto"/>
            </w:tcBorders>
            <w:shd w:val="clear" w:color="auto" w:fill="FFFFFF"/>
            <w:vAlign w:val="center"/>
          </w:tcPr>
          <w:p w14:paraId="5DF7C5B6"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Delmar School District</w:t>
            </w:r>
          </w:p>
          <w:p w14:paraId="0568C232"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200 N. 8th Street</w:t>
            </w:r>
          </w:p>
          <w:p w14:paraId="1EEE9AEF" w14:textId="77777777" w:rsidR="00CE32A7" w:rsidRPr="0033668F" w:rsidRDefault="00CE32A7" w:rsidP="00CE32A7">
            <w:pPr>
              <w:pStyle w:val="TableParagraph"/>
              <w:ind w:left="0"/>
              <w:rPr>
                <w:rFonts w:ascii="Arial" w:hAnsi="Arial" w:cs="Arial"/>
                <w:sz w:val="18"/>
                <w:szCs w:val="18"/>
              </w:rPr>
            </w:pPr>
            <w:r w:rsidRPr="0033668F">
              <w:rPr>
                <w:rFonts w:ascii="Arial" w:hAnsi="Arial" w:cs="Arial"/>
                <w:sz w:val="18"/>
                <w:szCs w:val="18"/>
              </w:rPr>
              <w:t>Delmar, DE 19940</w:t>
            </w:r>
          </w:p>
        </w:tc>
        <w:tc>
          <w:tcPr>
            <w:tcW w:w="1575" w:type="dxa"/>
            <w:tcBorders>
              <w:top w:val="single" w:sz="4" w:space="0" w:color="auto"/>
              <w:bottom w:val="single" w:sz="4" w:space="0" w:color="auto"/>
            </w:tcBorders>
            <w:shd w:val="clear" w:color="auto" w:fill="auto"/>
            <w:vAlign w:val="center"/>
          </w:tcPr>
          <w:p w14:paraId="42BA8117" w14:textId="77777777" w:rsidR="00CE32A7" w:rsidRPr="00616F0B" w:rsidRDefault="00CE32A7" w:rsidP="00CE32A7">
            <w:pPr>
              <w:pStyle w:val="TableParagraph"/>
              <w:ind w:left="0"/>
              <w:rPr>
                <w:rFonts w:ascii="Arial" w:hAnsi="Arial" w:cs="Arial"/>
                <w:sz w:val="18"/>
                <w:szCs w:val="18"/>
              </w:rPr>
            </w:pPr>
          </w:p>
        </w:tc>
      </w:tr>
      <w:tr w:rsidR="00CE32A7" w:rsidRPr="00341151" w14:paraId="3DD43C02" w14:textId="77777777" w:rsidTr="00CE32A7">
        <w:trPr>
          <w:trHeight w:val="435"/>
        </w:trPr>
        <w:tc>
          <w:tcPr>
            <w:tcW w:w="4005" w:type="dxa"/>
            <w:tcBorders>
              <w:top w:val="single" w:sz="4" w:space="0" w:color="auto"/>
              <w:bottom w:val="single" w:sz="4" w:space="0" w:color="auto"/>
            </w:tcBorders>
            <w:shd w:val="clear" w:color="auto" w:fill="FFFFFF"/>
            <w:vAlign w:val="center"/>
          </w:tcPr>
          <w:p w14:paraId="2FA0D896"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New Castle County Vocational Technical School District</w:t>
            </w:r>
          </w:p>
          <w:p w14:paraId="48A1D04D" w14:textId="77777777" w:rsidR="00CE32A7" w:rsidRDefault="00CE32A7" w:rsidP="00CE32A7">
            <w:pPr>
              <w:pStyle w:val="TableParagraph"/>
              <w:ind w:left="0"/>
              <w:rPr>
                <w:rFonts w:ascii="Arial" w:hAnsi="Arial" w:cs="Arial"/>
                <w:sz w:val="18"/>
                <w:szCs w:val="18"/>
              </w:rPr>
            </w:pPr>
            <w:r>
              <w:rPr>
                <w:rFonts w:ascii="Arial" w:hAnsi="Arial" w:cs="Arial"/>
                <w:sz w:val="18"/>
                <w:szCs w:val="18"/>
              </w:rPr>
              <w:t>1417 Newport Rd</w:t>
            </w:r>
          </w:p>
          <w:p w14:paraId="02C103B3" w14:textId="77777777" w:rsidR="00CE32A7" w:rsidRPr="0033668F" w:rsidRDefault="00CE32A7" w:rsidP="00CE32A7">
            <w:pPr>
              <w:pStyle w:val="TableParagraph"/>
              <w:ind w:left="0"/>
              <w:rPr>
                <w:rFonts w:ascii="Arial" w:hAnsi="Arial" w:cs="Arial"/>
                <w:sz w:val="18"/>
                <w:szCs w:val="18"/>
              </w:rPr>
            </w:pPr>
            <w:r w:rsidRPr="0033668F">
              <w:rPr>
                <w:rFonts w:ascii="Arial" w:hAnsi="Arial" w:cs="Arial"/>
                <w:sz w:val="18"/>
                <w:szCs w:val="18"/>
              </w:rPr>
              <w:t>Wilmington, DE 19804</w:t>
            </w:r>
          </w:p>
        </w:tc>
        <w:tc>
          <w:tcPr>
            <w:tcW w:w="1575" w:type="dxa"/>
            <w:tcBorders>
              <w:top w:val="single" w:sz="4" w:space="0" w:color="auto"/>
              <w:bottom w:val="single" w:sz="4" w:space="0" w:color="auto"/>
            </w:tcBorders>
            <w:shd w:val="clear" w:color="auto" w:fill="auto"/>
            <w:vAlign w:val="center"/>
          </w:tcPr>
          <w:p w14:paraId="41B7A8D1" w14:textId="77777777" w:rsidR="00CE32A7" w:rsidRPr="00616F0B" w:rsidRDefault="00CE32A7" w:rsidP="00CE32A7">
            <w:pPr>
              <w:pStyle w:val="TableParagraph"/>
              <w:ind w:left="0"/>
              <w:rPr>
                <w:rFonts w:ascii="Arial" w:hAnsi="Arial" w:cs="Arial"/>
                <w:sz w:val="18"/>
                <w:szCs w:val="18"/>
              </w:rPr>
            </w:pPr>
          </w:p>
        </w:tc>
      </w:tr>
      <w:tr w:rsidR="00CE32A7" w:rsidRPr="00341151" w14:paraId="72DED772" w14:textId="77777777" w:rsidTr="00CE32A7">
        <w:trPr>
          <w:trHeight w:val="435"/>
        </w:trPr>
        <w:tc>
          <w:tcPr>
            <w:tcW w:w="4005" w:type="dxa"/>
            <w:tcBorders>
              <w:top w:val="single" w:sz="4" w:space="0" w:color="auto"/>
            </w:tcBorders>
            <w:shd w:val="clear" w:color="auto" w:fill="FFFFFF"/>
            <w:vAlign w:val="center"/>
          </w:tcPr>
          <w:p w14:paraId="120F00A8"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Polytech School District</w:t>
            </w:r>
          </w:p>
          <w:p w14:paraId="6498DE08" w14:textId="77777777" w:rsidR="00CE32A7" w:rsidRDefault="00CE32A7" w:rsidP="00CE32A7">
            <w:pPr>
              <w:pStyle w:val="TableParagraph"/>
              <w:ind w:left="0"/>
              <w:rPr>
                <w:rFonts w:ascii="Arial" w:hAnsi="Arial" w:cs="Arial"/>
                <w:sz w:val="18"/>
                <w:szCs w:val="18"/>
              </w:rPr>
            </w:pPr>
            <w:r w:rsidRPr="0033668F">
              <w:rPr>
                <w:rFonts w:ascii="Arial" w:hAnsi="Arial" w:cs="Arial"/>
                <w:sz w:val="18"/>
                <w:szCs w:val="18"/>
              </w:rPr>
              <w:t>823 Walnut Shade Road</w:t>
            </w:r>
          </w:p>
          <w:p w14:paraId="578AD12A" w14:textId="77777777" w:rsidR="00CE32A7" w:rsidRPr="0033668F" w:rsidRDefault="00CE32A7" w:rsidP="00CE32A7">
            <w:pPr>
              <w:pStyle w:val="TableParagraph"/>
              <w:ind w:left="0"/>
              <w:rPr>
                <w:rFonts w:ascii="Arial" w:hAnsi="Arial" w:cs="Arial"/>
                <w:sz w:val="18"/>
                <w:szCs w:val="18"/>
              </w:rPr>
            </w:pPr>
            <w:r w:rsidRPr="0033668F">
              <w:rPr>
                <w:rFonts w:ascii="Arial" w:hAnsi="Arial" w:cs="Arial"/>
                <w:sz w:val="18"/>
                <w:szCs w:val="18"/>
              </w:rPr>
              <w:t>Woodside, DE 19980</w:t>
            </w:r>
          </w:p>
        </w:tc>
        <w:tc>
          <w:tcPr>
            <w:tcW w:w="1575" w:type="dxa"/>
            <w:tcBorders>
              <w:top w:val="single" w:sz="4" w:space="0" w:color="auto"/>
            </w:tcBorders>
            <w:shd w:val="clear" w:color="auto" w:fill="auto"/>
            <w:vAlign w:val="center"/>
          </w:tcPr>
          <w:p w14:paraId="0387268E" w14:textId="77777777" w:rsidR="00CE32A7" w:rsidRPr="00616F0B" w:rsidRDefault="00CE32A7" w:rsidP="00CE32A7">
            <w:pPr>
              <w:pStyle w:val="TableParagraph"/>
              <w:ind w:left="0"/>
              <w:rPr>
                <w:rFonts w:ascii="Arial" w:hAnsi="Arial" w:cs="Arial"/>
                <w:sz w:val="18"/>
                <w:szCs w:val="18"/>
              </w:rPr>
            </w:pPr>
          </w:p>
        </w:tc>
      </w:tr>
    </w:tbl>
    <w:p w14:paraId="69FC23A7" w14:textId="77777777" w:rsidR="00C718BD" w:rsidRDefault="00C718BD" w:rsidP="00844BA2">
      <w:pPr>
        <w:pStyle w:val="ListParagraph"/>
        <w:ind w:left="1440"/>
        <w:rPr>
          <w:sz w:val="20"/>
          <w:szCs w:val="20"/>
        </w:rPr>
      </w:pPr>
    </w:p>
    <w:p w14:paraId="08F0A599" w14:textId="77777777" w:rsidR="00CE32A7" w:rsidRDefault="00CE32A7" w:rsidP="00844BA2">
      <w:pPr>
        <w:pStyle w:val="ListParagraph"/>
        <w:ind w:left="1440"/>
        <w:rPr>
          <w:sz w:val="20"/>
          <w:szCs w:val="20"/>
        </w:rPr>
      </w:pPr>
    </w:p>
    <w:p w14:paraId="130D8F97" w14:textId="77777777" w:rsidR="00C718BD" w:rsidRDefault="0033668F" w:rsidP="00844BA2">
      <w:pPr>
        <w:pStyle w:val="ListParagraph"/>
        <w:numPr>
          <w:ilvl w:val="1"/>
          <w:numId w:val="18"/>
        </w:numPr>
        <w:rPr>
          <w:sz w:val="20"/>
          <w:szCs w:val="20"/>
        </w:rPr>
      </w:pPr>
      <w:r w:rsidRPr="00844BA2">
        <w:rPr>
          <w:sz w:val="20"/>
          <w:szCs w:val="20"/>
        </w:rPr>
        <w:t xml:space="preserve">Can </w:t>
      </w:r>
      <w:r w:rsidRPr="0033668F">
        <w:rPr>
          <w:sz w:val="20"/>
          <w:szCs w:val="20"/>
        </w:rPr>
        <w:t>State agencies</w:t>
      </w:r>
      <w:r w:rsidRPr="00844BA2">
        <w:rPr>
          <w:sz w:val="20"/>
          <w:szCs w:val="20"/>
        </w:rPr>
        <w:t xml:space="preserve"> make deposits into the Firm’s ATMs? </w:t>
      </w:r>
      <w:r w:rsidR="00B925BA">
        <w:rPr>
          <w:sz w:val="20"/>
          <w:szCs w:val="20"/>
        </w:rPr>
        <w:t xml:space="preserve">If so, what kind of deposits </w:t>
      </w:r>
      <w:proofErr w:type="gramStart"/>
      <w:r w:rsidR="00B925BA">
        <w:rPr>
          <w:sz w:val="20"/>
          <w:szCs w:val="20"/>
        </w:rPr>
        <w:t>can be made</w:t>
      </w:r>
      <w:proofErr w:type="gramEnd"/>
      <w:r w:rsidR="00B925BA">
        <w:rPr>
          <w:sz w:val="20"/>
          <w:szCs w:val="20"/>
        </w:rPr>
        <w:t xml:space="preserve"> (</w:t>
      </w:r>
      <w:proofErr w:type="spellStart"/>
      <w:r w:rsidR="00B925BA">
        <w:rPr>
          <w:sz w:val="20"/>
          <w:szCs w:val="20"/>
        </w:rPr>
        <w:t>i.e</w:t>
      </w:r>
      <w:proofErr w:type="spellEnd"/>
      <w:r w:rsidR="00B925BA">
        <w:rPr>
          <w:sz w:val="20"/>
          <w:szCs w:val="20"/>
        </w:rPr>
        <w:t xml:space="preserve"> checks only, cash and checks, etc.)? </w:t>
      </w:r>
      <w:r w:rsidRPr="00844BA2">
        <w:rPr>
          <w:sz w:val="20"/>
          <w:szCs w:val="20"/>
        </w:rPr>
        <w:t>Please describe the process and any limitations.</w:t>
      </w:r>
    </w:p>
    <w:p w14:paraId="0A4A3F64" w14:textId="77777777" w:rsidR="0033668F" w:rsidRDefault="0033668F" w:rsidP="00844BA2">
      <w:pPr>
        <w:pStyle w:val="ListParagraph"/>
        <w:ind w:left="1440"/>
        <w:rPr>
          <w:sz w:val="20"/>
          <w:szCs w:val="20"/>
        </w:rPr>
      </w:pPr>
    </w:p>
    <w:p w14:paraId="5D6EA742" w14:textId="77777777" w:rsidR="0033668F" w:rsidRDefault="0033668F" w:rsidP="00844BA2">
      <w:pPr>
        <w:pStyle w:val="ListParagraph"/>
        <w:numPr>
          <w:ilvl w:val="1"/>
          <w:numId w:val="18"/>
        </w:numPr>
        <w:rPr>
          <w:sz w:val="20"/>
          <w:szCs w:val="20"/>
        </w:rPr>
      </w:pPr>
      <w:r>
        <w:rPr>
          <w:sz w:val="20"/>
          <w:szCs w:val="20"/>
        </w:rPr>
        <w:t>Branch Deposits</w:t>
      </w:r>
    </w:p>
    <w:p w14:paraId="79137733" w14:textId="77777777" w:rsidR="0033668F" w:rsidRPr="00844BA2" w:rsidRDefault="0033668F" w:rsidP="00844BA2">
      <w:pPr>
        <w:pStyle w:val="ListParagraph"/>
        <w:rPr>
          <w:sz w:val="20"/>
          <w:szCs w:val="20"/>
        </w:rPr>
      </w:pPr>
    </w:p>
    <w:p w14:paraId="7AD0D2C4" w14:textId="77777777" w:rsidR="0033668F" w:rsidRPr="00844BA2" w:rsidRDefault="0033668F" w:rsidP="00844BA2">
      <w:pPr>
        <w:pStyle w:val="ListParagraph"/>
        <w:numPr>
          <w:ilvl w:val="1"/>
          <w:numId w:val="21"/>
        </w:numPr>
        <w:shd w:val="clear" w:color="auto" w:fill="FFFFFF" w:themeFill="background1"/>
        <w:spacing w:after="160" w:line="259" w:lineRule="auto"/>
        <w:ind w:left="1800" w:hanging="270"/>
        <w:rPr>
          <w:sz w:val="20"/>
          <w:szCs w:val="20"/>
        </w:rPr>
      </w:pPr>
      <w:r w:rsidRPr="00844BA2">
        <w:rPr>
          <w:sz w:val="20"/>
          <w:szCs w:val="20"/>
        </w:rPr>
        <w:t>What is the ledger cutoff time for deposits made to branch locations?</w:t>
      </w:r>
    </w:p>
    <w:p w14:paraId="38329121" w14:textId="77777777" w:rsidR="0033668F" w:rsidRDefault="0033668F" w:rsidP="00844BA2">
      <w:pPr>
        <w:pStyle w:val="ListParagraph"/>
        <w:numPr>
          <w:ilvl w:val="1"/>
          <w:numId w:val="21"/>
        </w:numPr>
        <w:shd w:val="clear" w:color="auto" w:fill="FFFFFF" w:themeFill="background1"/>
        <w:spacing w:after="160" w:line="259" w:lineRule="auto"/>
        <w:ind w:left="1800" w:hanging="270"/>
        <w:rPr>
          <w:sz w:val="20"/>
          <w:szCs w:val="20"/>
        </w:rPr>
      </w:pPr>
      <w:r w:rsidRPr="00844BA2">
        <w:rPr>
          <w:sz w:val="20"/>
          <w:szCs w:val="20"/>
        </w:rPr>
        <w:t>What type of deposit bags does the Firm allow/require?</w:t>
      </w:r>
    </w:p>
    <w:p w14:paraId="06F6766F" w14:textId="77777777" w:rsidR="00910434" w:rsidRPr="00844BA2" w:rsidRDefault="00910434" w:rsidP="00844BA2">
      <w:pPr>
        <w:pStyle w:val="ListParagraph"/>
        <w:numPr>
          <w:ilvl w:val="1"/>
          <w:numId w:val="21"/>
        </w:numPr>
        <w:shd w:val="clear" w:color="auto" w:fill="FFFFFF" w:themeFill="background1"/>
        <w:spacing w:after="160" w:line="259" w:lineRule="auto"/>
        <w:ind w:left="1800" w:hanging="270"/>
        <w:rPr>
          <w:sz w:val="20"/>
          <w:szCs w:val="20"/>
        </w:rPr>
      </w:pPr>
      <w:r w:rsidRPr="000F09D2">
        <w:rPr>
          <w:sz w:val="20"/>
          <w:szCs w:val="20"/>
        </w:rPr>
        <w:t xml:space="preserve">What is the limit, if any, on the number of deposit tickets that can be included in one deposit bag? </w:t>
      </w:r>
    </w:p>
    <w:p w14:paraId="382A32D4" w14:textId="77777777" w:rsidR="00910434" w:rsidRPr="00844BA2" w:rsidRDefault="00910434" w:rsidP="00844BA2">
      <w:pPr>
        <w:pStyle w:val="ListParagraph"/>
        <w:numPr>
          <w:ilvl w:val="1"/>
          <w:numId w:val="21"/>
        </w:numPr>
        <w:shd w:val="clear" w:color="auto" w:fill="FFFFFF" w:themeFill="background1"/>
        <w:spacing w:after="160" w:line="259" w:lineRule="auto"/>
        <w:ind w:left="1800" w:hanging="270"/>
        <w:rPr>
          <w:sz w:val="20"/>
          <w:szCs w:val="20"/>
        </w:rPr>
      </w:pPr>
      <w:r w:rsidRPr="00844BA2">
        <w:rPr>
          <w:sz w:val="20"/>
          <w:szCs w:val="20"/>
        </w:rPr>
        <w:t xml:space="preserve">Can currency and checks be included in the same deposit bag? </w:t>
      </w:r>
    </w:p>
    <w:p w14:paraId="76DB5270" w14:textId="0C56BB24" w:rsidR="007716BB" w:rsidRPr="00227823" w:rsidRDefault="0033668F" w:rsidP="00511725">
      <w:pPr>
        <w:pStyle w:val="ListParagraph"/>
        <w:numPr>
          <w:ilvl w:val="1"/>
          <w:numId w:val="21"/>
        </w:numPr>
        <w:shd w:val="clear" w:color="auto" w:fill="FFFFFF" w:themeFill="background1"/>
        <w:spacing w:after="160" w:line="259" w:lineRule="auto"/>
        <w:ind w:left="1800" w:hanging="270"/>
        <w:rPr>
          <w:sz w:val="20"/>
          <w:szCs w:val="20"/>
        </w:rPr>
      </w:pPr>
      <w:r w:rsidRPr="00844BA2">
        <w:rPr>
          <w:sz w:val="20"/>
          <w:szCs w:val="20"/>
        </w:rPr>
        <w:t>Are there any restrictions on the amount of loose and/or rolled coin deposited at a branch location?</w:t>
      </w:r>
    </w:p>
    <w:p w14:paraId="24953141" w14:textId="77777777" w:rsidR="00910434" w:rsidRDefault="0033668F" w:rsidP="00844BA2">
      <w:pPr>
        <w:pStyle w:val="ListParagraph"/>
        <w:numPr>
          <w:ilvl w:val="1"/>
          <w:numId w:val="21"/>
        </w:numPr>
        <w:shd w:val="clear" w:color="auto" w:fill="FFFFFF" w:themeFill="background1"/>
        <w:spacing w:after="160" w:line="259" w:lineRule="auto"/>
        <w:ind w:left="1800" w:hanging="270"/>
        <w:rPr>
          <w:sz w:val="20"/>
          <w:szCs w:val="20"/>
        </w:rPr>
      </w:pPr>
      <w:proofErr w:type="gramStart"/>
      <w:r w:rsidRPr="00844BA2">
        <w:rPr>
          <w:sz w:val="20"/>
          <w:szCs w:val="20"/>
        </w:rPr>
        <w:t>Are branch deposits immediately verified</w:t>
      </w:r>
      <w:proofErr w:type="gramEnd"/>
      <w:r w:rsidRPr="00844BA2">
        <w:rPr>
          <w:sz w:val="20"/>
          <w:szCs w:val="20"/>
        </w:rPr>
        <w:t>? If not, when does verification take place?</w:t>
      </w:r>
    </w:p>
    <w:p w14:paraId="0A8F53F9" w14:textId="77777777" w:rsidR="00910434" w:rsidRDefault="0033668F" w:rsidP="00844BA2">
      <w:pPr>
        <w:pStyle w:val="ListParagraph"/>
        <w:numPr>
          <w:ilvl w:val="1"/>
          <w:numId w:val="21"/>
        </w:numPr>
        <w:shd w:val="clear" w:color="auto" w:fill="FFFFFF" w:themeFill="background1"/>
        <w:spacing w:after="160" w:line="259" w:lineRule="auto"/>
        <w:ind w:left="1800" w:hanging="270"/>
        <w:rPr>
          <w:sz w:val="20"/>
          <w:szCs w:val="20"/>
        </w:rPr>
      </w:pPr>
      <w:r w:rsidRPr="00844BA2">
        <w:rPr>
          <w:sz w:val="20"/>
          <w:szCs w:val="20"/>
        </w:rPr>
        <w:t xml:space="preserve">If the Firm corrects a branch deposit, how </w:t>
      </w:r>
      <w:proofErr w:type="gramStart"/>
      <w:r w:rsidRPr="00844BA2">
        <w:rPr>
          <w:sz w:val="20"/>
          <w:szCs w:val="20"/>
        </w:rPr>
        <w:t>will the State agenc</w:t>
      </w:r>
      <w:r w:rsidR="000F09D2" w:rsidRPr="000F09D2">
        <w:rPr>
          <w:sz w:val="20"/>
          <w:szCs w:val="20"/>
        </w:rPr>
        <w:t>y</w:t>
      </w:r>
      <w:r w:rsidRPr="00844BA2">
        <w:rPr>
          <w:sz w:val="20"/>
          <w:szCs w:val="20"/>
        </w:rPr>
        <w:fldChar w:fldCharType="begin"/>
      </w:r>
      <w:r w:rsidRPr="00844BA2">
        <w:rPr>
          <w:sz w:val="20"/>
          <w:szCs w:val="20"/>
        </w:rPr>
        <w:instrText xml:space="preserve"> DOCPROPERTY  "Client Short Name"  \* MERGEFORMAT </w:instrText>
      </w:r>
      <w:r w:rsidRPr="00844BA2">
        <w:rPr>
          <w:sz w:val="20"/>
          <w:szCs w:val="20"/>
        </w:rPr>
        <w:fldChar w:fldCharType="end"/>
      </w:r>
      <w:r w:rsidRPr="00844BA2">
        <w:rPr>
          <w:sz w:val="20"/>
          <w:szCs w:val="20"/>
        </w:rPr>
        <w:t xml:space="preserve"> be informed</w:t>
      </w:r>
      <w:proofErr w:type="gramEnd"/>
      <w:r w:rsidRPr="00844BA2">
        <w:rPr>
          <w:sz w:val="20"/>
          <w:szCs w:val="20"/>
        </w:rPr>
        <w:t xml:space="preserve"> of this change (i.e. phone call, online notification, fax, e-mail)? Is there a de </w:t>
      </w:r>
      <w:proofErr w:type="spellStart"/>
      <w:r w:rsidRPr="00844BA2">
        <w:rPr>
          <w:sz w:val="20"/>
          <w:szCs w:val="20"/>
        </w:rPr>
        <w:t>minimis</w:t>
      </w:r>
      <w:proofErr w:type="spellEnd"/>
      <w:r w:rsidRPr="00844BA2">
        <w:rPr>
          <w:sz w:val="20"/>
          <w:szCs w:val="20"/>
        </w:rPr>
        <w:t xml:space="preserve"> amount below which you write off deposit adjustments; if so, what is it?</w:t>
      </w:r>
    </w:p>
    <w:p w14:paraId="37952444" w14:textId="77777777" w:rsidR="00910434" w:rsidRDefault="00910434" w:rsidP="00844BA2">
      <w:pPr>
        <w:pStyle w:val="ListParagraph"/>
        <w:numPr>
          <w:ilvl w:val="1"/>
          <w:numId w:val="21"/>
        </w:numPr>
        <w:shd w:val="clear" w:color="auto" w:fill="FFFFFF" w:themeFill="background1"/>
        <w:spacing w:after="160" w:line="259" w:lineRule="auto"/>
        <w:ind w:left="1800" w:hanging="270"/>
        <w:rPr>
          <w:sz w:val="20"/>
          <w:szCs w:val="20"/>
        </w:rPr>
      </w:pPr>
      <w:r>
        <w:rPr>
          <w:sz w:val="20"/>
          <w:szCs w:val="20"/>
        </w:rPr>
        <w:t xml:space="preserve">Can the Firm accommodate deposits being transported by a </w:t>
      </w:r>
      <w:proofErr w:type="gramStart"/>
      <w:r>
        <w:rPr>
          <w:sz w:val="20"/>
          <w:szCs w:val="20"/>
        </w:rPr>
        <w:t>third-party</w:t>
      </w:r>
      <w:proofErr w:type="gramEnd"/>
      <w:r>
        <w:rPr>
          <w:sz w:val="20"/>
          <w:szCs w:val="20"/>
        </w:rPr>
        <w:t xml:space="preserve"> to a local branch?</w:t>
      </w:r>
    </w:p>
    <w:p w14:paraId="6F9D1001" w14:textId="77777777" w:rsidR="00910434" w:rsidRDefault="00910434" w:rsidP="00844BA2">
      <w:pPr>
        <w:pStyle w:val="ListParagraph"/>
        <w:numPr>
          <w:ilvl w:val="1"/>
          <w:numId w:val="21"/>
        </w:numPr>
        <w:shd w:val="clear" w:color="auto" w:fill="FFFFFF" w:themeFill="background1"/>
        <w:spacing w:after="160" w:line="259" w:lineRule="auto"/>
        <w:ind w:left="1800" w:hanging="270"/>
        <w:rPr>
          <w:sz w:val="20"/>
          <w:szCs w:val="20"/>
        </w:rPr>
      </w:pPr>
      <w:r w:rsidRPr="00844BA2">
        <w:rPr>
          <w:sz w:val="20"/>
          <w:szCs w:val="20"/>
        </w:rPr>
        <w:t xml:space="preserve">Describe the process </w:t>
      </w:r>
      <w:r w:rsidRPr="00910434">
        <w:rPr>
          <w:sz w:val="20"/>
          <w:szCs w:val="20"/>
        </w:rPr>
        <w:t>State agencies</w:t>
      </w:r>
      <w:r w:rsidRPr="00844BA2">
        <w:rPr>
          <w:sz w:val="20"/>
          <w:szCs w:val="20"/>
        </w:rPr>
        <w:t xml:space="preserve"> would use to research any deposit discrepancies. What is the Firm’s process for resolving discrepancies when a third-party courier </w:t>
      </w:r>
      <w:proofErr w:type="gramStart"/>
      <w:r w:rsidRPr="00910434">
        <w:rPr>
          <w:sz w:val="20"/>
          <w:szCs w:val="20"/>
        </w:rPr>
        <w:t>is employed</w:t>
      </w:r>
      <w:proofErr w:type="gramEnd"/>
      <w:r w:rsidRPr="00910434">
        <w:rPr>
          <w:sz w:val="20"/>
          <w:szCs w:val="20"/>
        </w:rPr>
        <w:t>?</w:t>
      </w:r>
    </w:p>
    <w:p w14:paraId="777BE541" w14:textId="77777777" w:rsidR="000F09D2" w:rsidRPr="00844BA2" w:rsidRDefault="000F09D2" w:rsidP="00844BA2">
      <w:pPr>
        <w:pStyle w:val="ListParagraph"/>
        <w:numPr>
          <w:ilvl w:val="1"/>
          <w:numId w:val="21"/>
        </w:numPr>
        <w:shd w:val="clear" w:color="auto" w:fill="FFFFFF" w:themeFill="background1"/>
        <w:spacing w:after="160" w:line="259" w:lineRule="auto"/>
        <w:ind w:left="1800" w:hanging="270"/>
        <w:rPr>
          <w:sz w:val="20"/>
          <w:szCs w:val="20"/>
        </w:rPr>
      </w:pPr>
      <w:proofErr w:type="gramStart"/>
      <w:r>
        <w:rPr>
          <w:sz w:val="20"/>
          <w:szCs w:val="20"/>
        </w:rPr>
        <w:t>Can bank supplies (i.e. deposit bags and deposit tickets) be ordered</w:t>
      </w:r>
      <w:proofErr w:type="gramEnd"/>
      <w:r>
        <w:rPr>
          <w:sz w:val="20"/>
          <w:szCs w:val="20"/>
        </w:rPr>
        <w:t xml:space="preserve"> through your Firm? </w:t>
      </w:r>
      <w:proofErr w:type="gramStart"/>
      <w:r>
        <w:rPr>
          <w:sz w:val="20"/>
          <w:szCs w:val="20"/>
        </w:rPr>
        <w:t>Does the Firm charge a fee for these supplies?</w:t>
      </w:r>
      <w:proofErr w:type="gramEnd"/>
      <w:r>
        <w:rPr>
          <w:sz w:val="20"/>
          <w:szCs w:val="20"/>
        </w:rPr>
        <w:t xml:space="preserve"> </w:t>
      </w:r>
      <w:proofErr w:type="gramStart"/>
      <w:r>
        <w:rPr>
          <w:sz w:val="20"/>
          <w:szCs w:val="20"/>
        </w:rPr>
        <w:t>If so, is the fee a pass-through charge or is there a mark-up?</w:t>
      </w:r>
      <w:proofErr w:type="gramEnd"/>
      <w:r>
        <w:rPr>
          <w:sz w:val="20"/>
          <w:szCs w:val="20"/>
        </w:rPr>
        <w:t xml:space="preserve"> </w:t>
      </w:r>
    </w:p>
    <w:p w14:paraId="6716E838" w14:textId="77777777" w:rsidR="00C718BD" w:rsidRPr="003D6A92" w:rsidRDefault="00C718BD" w:rsidP="001777FA">
      <w:pPr>
        <w:pStyle w:val="ListParagraph"/>
        <w:numPr>
          <w:ilvl w:val="0"/>
          <w:numId w:val="18"/>
        </w:numPr>
        <w:tabs>
          <w:tab w:val="left" w:pos="1080"/>
        </w:tabs>
        <w:spacing w:after="160" w:line="259" w:lineRule="auto"/>
        <w:rPr>
          <w:sz w:val="20"/>
          <w:szCs w:val="20"/>
        </w:rPr>
      </w:pPr>
      <w:r>
        <w:rPr>
          <w:sz w:val="20"/>
          <w:szCs w:val="20"/>
        </w:rPr>
        <w:t>Deposit Reconciliation Services</w:t>
      </w:r>
    </w:p>
    <w:p w14:paraId="3038F458" w14:textId="76305D81" w:rsidR="007716BB" w:rsidRDefault="007716BB" w:rsidP="001777FA">
      <w:pPr>
        <w:pStyle w:val="ListParagraph"/>
        <w:numPr>
          <w:ilvl w:val="1"/>
          <w:numId w:val="19"/>
        </w:numPr>
        <w:ind w:left="1440"/>
        <w:rPr>
          <w:sz w:val="20"/>
          <w:szCs w:val="20"/>
        </w:rPr>
      </w:pPr>
      <w:proofErr w:type="gramStart"/>
      <w:r>
        <w:rPr>
          <w:sz w:val="20"/>
          <w:szCs w:val="20"/>
        </w:rPr>
        <w:t>Can a deposit identification number be used</w:t>
      </w:r>
      <w:proofErr w:type="gramEnd"/>
      <w:r>
        <w:rPr>
          <w:sz w:val="20"/>
          <w:szCs w:val="20"/>
        </w:rPr>
        <w:t xml:space="preserve"> to identify each unique depositing entity for reconciliation purposes?</w:t>
      </w:r>
      <w:r w:rsidR="00CB0F23">
        <w:rPr>
          <w:sz w:val="20"/>
          <w:szCs w:val="20"/>
        </w:rPr>
        <w:t xml:space="preserve"> </w:t>
      </w:r>
      <w:proofErr w:type="gramStart"/>
      <w:r w:rsidR="00CB0F23">
        <w:rPr>
          <w:sz w:val="20"/>
          <w:szCs w:val="20"/>
        </w:rPr>
        <w:t>Can the deposit identification number be used</w:t>
      </w:r>
      <w:proofErr w:type="gramEnd"/>
      <w:r w:rsidR="00CB0F23">
        <w:rPr>
          <w:sz w:val="20"/>
          <w:szCs w:val="20"/>
        </w:rPr>
        <w:t xml:space="preserve"> for all deposit types?</w:t>
      </w:r>
    </w:p>
    <w:p w14:paraId="2301FA3B" w14:textId="77777777" w:rsidR="007716BB" w:rsidRDefault="007716BB" w:rsidP="00227823">
      <w:pPr>
        <w:pStyle w:val="ListParagraph"/>
        <w:ind w:left="1440"/>
        <w:rPr>
          <w:sz w:val="20"/>
          <w:szCs w:val="20"/>
        </w:rPr>
      </w:pPr>
    </w:p>
    <w:p w14:paraId="74D7A50D" w14:textId="1C277179" w:rsidR="003D6A92" w:rsidRPr="003D6A92" w:rsidRDefault="003D6A92" w:rsidP="001777FA">
      <w:pPr>
        <w:pStyle w:val="ListParagraph"/>
        <w:numPr>
          <w:ilvl w:val="1"/>
          <w:numId w:val="19"/>
        </w:numPr>
        <w:ind w:left="1440"/>
        <w:rPr>
          <w:sz w:val="20"/>
          <w:szCs w:val="20"/>
        </w:rPr>
      </w:pPr>
      <w:r w:rsidRPr="003D6A92">
        <w:rPr>
          <w:sz w:val="20"/>
          <w:szCs w:val="20"/>
        </w:rPr>
        <w:t>What are the specifications for assigning unique deposit identification numbers (i.e. maximum number of digits, numeric-only, etc.)?</w:t>
      </w:r>
    </w:p>
    <w:p w14:paraId="0FE3D578" w14:textId="77777777" w:rsidR="003D6A92" w:rsidRPr="003D6A92" w:rsidRDefault="003D6A92" w:rsidP="003D6A92">
      <w:pPr>
        <w:pStyle w:val="ListParagraph"/>
        <w:ind w:left="1440"/>
        <w:rPr>
          <w:sz w:val="20"/>
          <w:szCs w:val="20"/>
        </w:rPr>
      </w:pPr>
    </w:p>
    <w:p w14:paraId="328105E1" w14:textId="77777777" w:rsidR="003D6A92" w:rsidRPr="003D6A92" w:rsidRDefault="003D6A92" w:rsidP="001777FA">
      <w:pPr>
        <w:pStyle w:val="ListParagraph"/>
        <w:numPr>
          <w:ilvl w:val="1"/>
          <w:numId w:val="19"/>
        </w:numPr>
        <w:ind w:left="1440"/>
        <w:rPr>
          <w:sz w:val="20"/>
          <w:szCs w:val="20"/>
        </w:rPr>
      </w:pPr>
      <w:r w:rsidRPr="003D6A92">
        <w:rPr>
          <w:sz w:val="20"/>
          <w:szCs w:val="20"/>
        </w:rPr>
        <w:t>Are daily deposit totals reported by each location separately?</w:t>
      </w:r>
    </w:p>
    <w:p w14:paraId="1ACB65CD" w14:textId="77777777" w:rsidR="003D6A92" w:rsidRPr="003D6A92" w:rsidRDefault="003D6A92" w:rsidP="003D6A92">
      <w:pPr>
        <w:pStyle w:val="ListParagraph"/>
        <w:ind w:left="1440"/>
        <w:rPr>
          <w:sz w:val="20"/>
          <w:szCs w:val="20"/>
        </w:rPr>
      </w:pPr>
    </w:p>
    <w:p w14:paraId="080D33E1" w14:textId="77777777" w:rsidR="003D6A92" w:rsidRPr="003D6A92" w:rsidRDefault="003D6A92" w:rsidP="001777FA">
      <w:pPr>
        <w:pStyle w:val="ListParagraph"/>
        <w:numPr>
          <w:ilvl w:val="1"/>
          <w:numId w:val="19"/>
        </w:numPr>
        <w:spacing w:after="160" w:line="259" w:lineRule="auto"/>
        <w:ind w:left="1440"/>
        <w:rPr>
          <w:sz w:val="20"/>
          <w:szCs w:val="20"/>
        </w:rPr>
      </w:pPr>
      <w:r w:rsidRPr="003D6A92">
        <w:rPr>
          <w:sz w:val="20"/>
          <w:szCs w:val="20"/>
        </w:rPr>
        <w:t xml:space="preserve">Is the location code available on all standard reports? If not, please identify how this information will be available (i.e. customized reports from the online platform, transmitted files, etc.). </w:t>
      </w:r>
    </w:p>
    <w:p w14:paraId="7D8C005F"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Returned Item Processing</w:t>
      </w:r>
    </w:p>
    <w:p w14:paraId="7EF74135" w14:textId="77777777" w:rsidR="003D6A92" w:rsidRPr="003D6A92" w:rsidRDefault="003D6A92" w:rsidP="00715603">
      <w:pPr>
        <w:pStyle w:val="ListParagraph"/>
        <w:numPr>
          <w:ilvl w:val="0"/>
          <w:numId w:val="22"/>
        </w:numPr>
        <w:spacing w:after="160" w:line="259" w:lineRule="auto"/>
        <w:jc w:val="both"/>
        <w:rPr>
          <w:sz w:val="20"/>
          <w:szCs w:val="20"/>
        </w:rPr>
      </w:pPr>
      <w:proofErr w:type="gramStart"/>
      <w:r w:rsidRPr="003D6A92">
        <w:rPr>
          <w:sz w:val="20"/>
          <w:szCs w:val="20"/>
        </w:rPr>
        <w:t>Can returned items be automatically redeposited</w:t>
      </w:r>
      <w:proofErr w:type="gramEnd"/>
      <w:r w:rsidRPr="003D6A92">
        <w:rPr>
          <w:sz w:val="20"/>
          <w:szCs w:val="20"/>
        </w:rPr>
        <w:t>?</w:t>
      </w:r>
    </w:p>
    <w:p w14:paraId="6E8D8277" w14:textId="77777777"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 xml:space="preserve">Does the </w:t>
      </w:r>
      <w:r w:rsidR="001F0BD1">
        <w:rPr>
          <w:sz w:val="20"/>
          <w:szCs w:val="20"/>
        </w:rPr>
        <w:t>Firm</w:t>
      </w:r>
      <w:r w:rsidR="00715603" w:rsidRPr="003D6A92">
        <w:rPr>
          <w:sz w:val="20"/>
          <w:szCs w:val="20"/>
        </w:rPr>
        <w:t xml:space="preserve"> </w:t>
      </w:r>
      <w:r w:rsidRPr="003D6A92">
        <w:rPr>
          <w:sz w:val="20"/>
          <w:szCs w:val="20"/>
        </w:rPr>
        <w:t>offer Represented Check Entries (“RCK”) services?</w:t>
      </w:r>
    </w:p>
    <w:p w14:paraId="45D304F1" w14:textId="77777777"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 xml:space="preserve">Can the </w:t>
      </w:r>
      <w:r w:rsidR="001F0BD1">
        <w:rPr>
          <w:sz w:val="20"/>
          <w:szCs w:val="20"/>
        </w:rPr>
        <w:t>Firm</w:t>
      </w:r>
      <w:r w:rsidR="00715603" w:rsidRPr="003D6A92">
        <w:rPr>
          <w:sz w:val="20"/>
          <w:szCs w:val="20"/>
        </w:rPr>
        <w:t xml:space="preserve"> </w:t>
      </w:r>
      <w:r w:rsidRPr="003D6A92">
        <w:rPr>
          <w:sz w:val="20"/>
          <w:szCs w:val="20"/>
        </w:rPr>
        <w:t xml:space="preserve">provide online access to electronic images (front and back) of returned items to the </w:t>
      </w:r>
      <w:r w:rsidRPr="0091231C">
        <w:rPr>
          <w:sz w:val="20"/>
          <w:szCs w:val="20"/>
        </w:rPr>
        <w:t>State</w:t>
      </w:r>
      <w:r w:rsidR="0091231C">
        <w:rPr>
          <w:sz w:val="20"/>
          <w:szCs w:val="20"/>
        </w:rPr>
        <w:t xml:space="preserve"> agenc</w:t>
      </w:r>
      <w:r w:rsidR="00B47814">
        <w:rPr>
          <w:sz w:val="20"/>
          <w:szCs w:val="20"/>
        </w:rPr>
        <w:t>ies</w:t>
      </w:r>
      <w:r w:rsidRPr="003D6A92">
        <w:rPr>
          <w:sz w:val="20"/>
          <w:szCs w:val="20"/>
        </w:rPr>
        <w:t xml:space="preserve">? How soon after an item </w:t>
      </w:r>
      <w:proofErr w:type="gramStart"/>
      <w:r w:rsidRPr="003D6A92">
        <w:rPr>
          <w:sz w:val="20"/>
          <w:szCs w:val="20"/>
        </w:rPr>
        <w:t>is returned</w:t>
      </w:r>
      <w:proofErr w:type="gramEnd"/>
      <w:r w:rsidRPr="003D6A92">
        <w:rPr>
          <w:sz w:val="20"/>
          <w:szCs w:val="20"/>
        </w:rPr>
        <w:t xml:space="preserve"> can these images be accessed?  </w:t>
      </w:r>
    </w:p>
    <w:p w14:paraId="4B71792D" w14:textId="77777777"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 xml:space="preserve">Can the </w:t>
      </w:r>
      <w:r w:rsidR="001F0BD1">
        <w:rPr>
          <w:sz w:val="20"/>
          <w:szCs w:val="20"/>
        </w:rPr>
        <w:t>Firm</w:t>
      </w:r>
      <w:r w:rsidR="00715603">
        <w:rPr>
          <w:sz w:val="20"/>
          <w:szCs w:val="20"/>
        </w:rPr>
        <w:t xml:space="preserve"> </w:t>
      </w:r>
      <w:r w:rsidRPr="003D6A92">
        <w:rPr>
          <w:sz w:val="20"/>
          <w:szCs w:val="20"/>
        </w:rPr>
        <w:t xml:space="preserve">provide a detailed return item transmission to </w:t>
      </w:r>
      <w:r w:rsidRPr="0091231C">
        <w:rPr>
          <w:sz w:val="20"/>
          <w:szCs w:val="20"/>
        </w:rPr>
        <w:t>the State</w:t>
      </w:r>
      <w:r w:rsidR="0091231C">
        <w:rPr>
          <w:sz w:val="20"/>
          <w:szCs w:val="20"/>
        </w:rPr>
        <w:t xml:space="preserve"> agenc</w:t>
      </w:r>
      <w:r w:rsidR="00B47814">
        <w:rPr>
          <w:sz w:val="20"/>
          <w:szCs w:val="20"/>
        </w:rPr>
        <w:t>ies</w:t>
      </w:r>
      <w:r w:rsidRPr="003D6A92">
        <w:rPr>
          <w:sz w:val="20"/>
          <w:szCs w:val="20"/>
        </w:rPr>
        <w:t xml:space="preserve">? Can this report identify the </w:t>
      </w:r>
      <w:proofErr w:type="spellStart"/>
      <w:r w:rsidRPr="003D6A92">
        <w:rPr>
          <w:sz w:val="20"/>
          <w:szCs w:val="20"/>
        </w:rPr>
        <w:t>payer’s</w:t>
      </w:r>
      <w:proofErr w:type="spellEnd"/>
      <w:r w:rsidRPr="003D6A92">
        <w:rPr>
          <w:sz w:val="20"/>
          <w:szCs w:val="20"/>
        </w:rPr>
        <w:t xml:space="preserve"> name, depositing location, deposit date, and type of item </w:t>
      </w:r>
      <w:proofErr w:type="gramStart"/>
      <w:r w:rsidRPr="003D6A92">
        <w:rPr>
          <w:sz w:val="20"/>
          <w:szCs w:val="20"/>
        </w:rPr>
        <w:t>being returned</w:t>
      </w:r>
      <w:proofErr w:type="gramEnd"/>
      <w:r w:rsidRPr="003D6A92">
        <w:rPr>
          <w:sz w:val="20"/>
          <w:szCs w:val="20"/>
        </w:rPr>
        <w:t>?</w:t>
      </w:r>
    </w:p>
    <w:p w14:paraId="5B429534"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Availability of Deposits</w:t>
      </w:r>
    </w:p>
    <w:p w14:paraId="2462CE46" w14:textId="77777777" w:rsidR="003D6A92" w:rsidRPr="003D6A92" w:rsidRDefault="003D6A92" w:rsidP="00715603">
      <w:pPr>
        <w:pStyle w:val="ListParagraph"/>
        <w:numPr>
          <w:ilvl w:val="0"/>
          <w:numId w:val="23"/>
        </w:numPr>
        <w:spacing w:after="160" w:line="259" w:lineRule="auto"/>
        <w:jc w:val="both"/>
        <w:rPr>
          <w:sz w:val="20"/>
          <w:szCs w:val="20"/>
        </w:rPr>
      </w:pPr>
      <w:r w:rsidRPr="003D6A92">
        <w:rPr>
          <w:sz w:val="20"/>
          <w:szCs w:val="20"/>
        </w:rPr>
        <w:t xml:space="preserve">How does the </w:t>
      </w:r>
      <w:r w:rsidR="001F0BD1">
        <w:rPr>
          <w:sz w:val="20"/>
          <w:szCs w:val="20"/>
        </w:rPr>
        <w:t>Firm</w:t>
      </w:r>
      <w:r w:rsidR="00E374AA" w:rsidRPr="003D6A92">
        <w:rPr>
          <w:sz w:val="20"/>
          <w:szCs w:val="20"/>
        </w:rPr>
        <w:t xml:space="preserve"> </w:t>
      </w:r>
      <w:r w:rsidRPr="003D6A92">
        <w:rPr>
          <w:sz w:val="20"/>
          <w:szCs w:val="20"/>
        </w:rPr>
        <w:t xml:space="preserve">determine and calculate availability of deposited items? Does the </w:t>
      </w:r>
      <w:r w:rsidR="0018673B">
        <w:rPr>
          <w:sz w:val="20"/>
          <w:szCs w:val="20"/>
        </w:rPr>
        <w:t>Firm</w:t>
      </w:r>
      <w:r w:rsidRPr="003D6A92">
        <w:rPr>
          <w:sz w:val="20"/>
          <w:szCs w:val="20"/>
        </w:rPr>
        <w:t xml:space="preserve"> calculate availability by item or formula?</w:t>
      </w:r>
    </w:p>
    <w:p w14:paraId="7D9019DC" w14:textId="77777777" w:rsidR="003D6A92" w:rsidRPr="003D6A92" w:rsidRDefault="003D6A92" w:rsidP="00715603">
      <w:pPr>
        <w:pStyle w:val="ListParagraph"/>
        <w:numPr>
          <w:ilvl w:val="0"/>
          <w:numId w:val="23"/>
        </w:numPr>
        <w:spacing w:after="160" w:line="259" w:lineRule="auto"/>
        <w:jc w:val="both"/>
        <w:rPr>
          <w:sz w:val="20"/>
          <w:szCs w:val="20"/>
        </w:rPr>
      </w:pPr>
      <w:r w:rsidRPr="003D6A92">
        <w:rPr>
          <w:sz w:val="20"/>
          <w:szCs w:val="20"/>
        </w:rPr>
        <w:t xml:space="preserve">Does the </w:t>
      </w:r>
      <w:r w:rsidR="001F0BD1">
        <w:rPr>
          <w:sz w:val="20"/>
          <w:szCs w:val="20"/>
        </w:rPr>
        <w:t>Firm</w:t>
      </w:r>
      <w:r w:rsidR="00E374AA" w:rsidRPr="003D6A92">
        <w:rPr>
          <w:sz w:val="20"/>
          <w:szCs w:val="20"/>
        </w:rPr>
        <w:t xml:space="preserve"> </w:t>
      </w:r>
      <w:r w:rsidRPr="003D6A92">
        <w:rPr>
          <w:sz w:val="20"/>
          <w:szCs w:val="20"/>
        </w:rPr>
        <w:t>give immediate availability for on-us items?</w:t>
      </w:r>
    </w:p>
    <w:p w14:paraId="1C3D033C" w14:textId="77777777" w:rsidR="003D6A92" w:rsidRPr="003D6A92" w:rsidRDefault="003D6A92" w:rsidP="00715603">
      <w:pPr>
        <w:pStyle w:val="ListParagraph"/>
        <w:numPr>
          <w:ilvl w:val="0"/>
          <w:numId w:val="23"/>
        </w:numPr>
        <w:spacing w:after="160" w:line="259" w:lineRule="auto"/>
        <w:jc w:val="both"/>
        <w:rPr>
          <w:sz w:val="20"/>
          <w:szCs w:val="20"/>
        </w:rPr>
      </w:pPr>
      <w:r w:rsidRPr="003D6A92">
        <w:rPr>
          <w:sz w:val="20"/>
          <w:szCs w:val="20"/>
        </w:rPr>
        <w:t xml:space="preserve">Provide a copy of the availability schedules the </w:t>
      </w:r>
      <w:r w:rsidR="0018673B">
        <w:rPr>
          <w:sz w:val="20"/>
          <w:szCs w:val="20"/>
        </w:rPr>
        <w:t>Firm</w:t>
      </w:r>
      <w:r w:rsidRPr="003D6A92">
        <w:rPr>
          <w:sz w:val="20"/>
          <w:szCs w:val="20"/>
        </w:rPr>
        <w:t xml:space="preserve"> proposes to use for the State</w:t>
      </w:r>
      <w:r w:rsidR="0091231C">
        <w:rPr>
          <w:sz w:val="20"/>
          <w:szCs w:val="20"/>
        </w:rPr>
        <w:t>.</w:t>
      </w:r>
      <w:r w:rsidRPr="003D6A92">
        <w:rPr>
          <w:sz w:val="20"/>
          <w:szCs w:val="20"/>
        </w:rPr>
        <w:t xml:space="preserve"> </w:t>
      </w:r>
    </w:p>
    <w:p w14:paraId="6BB1E771" w14:textId="77777777" w:rsidR="003D6A92" w:rsidRPr="005B2BB4" w:rsidRDefault="003D6A92" w:rsidP="001777FA">
      <w:pPr>
        <w:pStyle w:val="ListParagraph"/>
        <w:numPr>
          <w:ilvl w:val="0"/>
          <w:numId w:val="18"/>
        </w:numPr>
        <w:tabs>
          <w:tab w:val="left" w:pos="1080"/>
        </w:tabs>
        <w:spacing w:after="160" w:line="259" w:lineRule="auto"/>
        <w:rPr>
          <w:sz w:val="20"/>
          <w:szCs w:val="20"/>
        </w:rPr>
      </w:pPr>
      <w:r w:rsidRPr="005B2BB4">
        <w:rPr>
          <w:sz w:val="20"/>
          <w:szCs w:val="20"/>
        </w:rPr>
        <w:t>Check Disbursements / Positive Pay</w:t>
      </w:r>
    </w:p>
    <w:p w14:paraId="2308C14E"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Does the </w:t>
      </w:r>
      <w:proofErr w:type="gramStart"/>
      <w:r w:rsidR="001F0BD1" w:rsidRPr="005B2BB4">
        <w:rPr>
          <w:sz w:val="20"/>
          <w:szCs w:val="20"/>
        </w:rPr>
        <w:t>Firm</w:t>
      </w:r>
      <w:r w:rsidR="00715603" w:rsidRPr="005B2BB4">
        <w:rPr>
          <w:sz w:val="20"/>
          <w:szCs w:val="20"/>
        </w:rPr>
        <w:t xml:space="preserve"> </w:t>
      </w:r>
      <w:r w:rsidRPr="005B2BB4">
        <w:rPr>
          <w:sz w:val="20"/>
          <w:szCs w:val="20"/>
        </w:rPr>
        <w:t>offer payee positive</w:t>
      </w:r>
      <w:proofErr w:type="gramEnd"/>
      <w:r w:rsidRPr="005B2BB4">
        <w:rPr>
          <w:sz w:val="20"/>
          <w:szCs w:val="20"/>
        </w:rPr>
        <w:t xml:space="preserve"> pay? </w:t>
      </w:r>
    </w:p>
    <w:p w14:paraId="21EC8C81"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How </w:t>
      </w:r>
      <w:proofErr w:type="gramStart"/>
      <w:r w:rsidRPr="005B2BB4">
        <w:rPr>
          <w:sz w:val="20"/>
          <w:szCs w:val="20"/>
        </w:rPr>
        <w:t xml:space="preserve">will </w:t>
      </w:r>
      <w:r w:rsidR="002E3370" w:rsidRPr="005B2BB4">
        <w:rPr>
          <w:sz w:val="20"/>
          <w:szCs w:val="20"/>
        </w:rPr>
        <w:t>the State agenc</w:t>
      </w:r>
      <w:r w:rsidR="00791E87">
        <w:rPr>
          <w:sz w:val="20"/>
          <w:szCs w:val="20"/>
        </w:rPr>
        <w:t>ies</w:t>
      </w:r>
      <w:r w:rsidR="002E3370" w:rsidRPr="005B2BB4">
        <w:rPr>
          <w:sz w:val="20"/>
          <w:szCs w:val="20"/>
        </w:rPr>
        <w:t xml:space="preserve"> </w:t>
      </w:r>
      <w:r w:rsidRPr="005B2BB4">
        <w:rPr>
          <w:sz w:val="20"/>
          <w:szCs w:val="20"/>
        </w:rPr>
        <w:t>be notified</w:t>
      </w:r>
      <w:proofErr w:type="gramEnd"/>
      <w:r w:rsidRPr="005B2BB4">
        <w:rPr>
          <w:sz w:val="20"/>
          <w:szCs w:val="20"/>
        </w:rPr>
        <w:t xml:space="preserve"> of exception items? </w:t>
      </w:r>
      <w:proofErr w:type="gramStart"/>
      <w:r w:rsidRPr="005B2BB4">
        <w:rPr>
          <w:sz w:val="20"/>
          <w:szCs w:val="20"/>
        </w:rPr>
        <w:t>Can an e-mail notification be sent</w:t>
      </w:r>
      <w:proofErr w:type="gramEnd"/>
      <w:r w:rsidRPr="005B2BB4">
        <w:rPr>
          <w:sz w:val="20"/>
          <w:szCs w:val="20"/>
        </w:rPr>
        <w:t xml:space="preserve"> to specific users alerting them that there is an exception item to review? </w:t>
      </w:r>
    </w:p>
    <w:p w14:paraId="0AD6E910"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At what time will the State</w:t>
      </w:r>
      <w:r w:rsidR="002E3370" w:rsidRPr="005B2BB4">
        <w:rPr>
          <w:sz w:val="20"/>
          <w:szCs w:val="20"/>
        </w:rPr>
        <w:t xml:space="preserve"> agenc</w:t>
      </w:r>
      <w:r w:rsidR="00791E87">
        <w:rPr>
          <w:sz w:val="20"/>
          <w:szCs w:val="20"/>
        </w:rPr>
        <w:t>ies</w:t>
      </w:r>
      <w:r w:rsidRPr="005B2BB4">
        <w:rPr>
          <w:sz w:val="20"/>
          <w:szCs w:val="20"/>
        </w:rPr>
        <w:t xml:space="preserve"> receive the information on exception items? How much time will the State</w:t>
      </w:r>
      <w:r w:rsidR="002E3370" w:rsidRPr="005B2BB4">
        <w:rPr>
          <w:sz w:val="20"/>
          <w:szCs w:val="20"/>
        </w:rPr>
        <w:t xml:space="preserve"> agenc</w:t>
      </w:r>
      <w:r w:rsidR="00791E87">
        <w:rPr>
          <w:sz w:val="20"/>
          <w:szCs w:val="20"/>
        </w:rPr>
        <w:t>ies</w:t>
      </w:r>
      <w:r w:rsidRPr="005B2BB4">
        <w:rPr>
          <w:sz w:val="20"/>
          <w:szCs w:val="20"/>
        </w:rPr>
        <w:t xml:space="preserve"> have to review discrepancies and notify the </w:t>
      </w:r>
      <w:r w:rsidR="001F0BD1" w:rsidRPr="005B2BB4">
        <w:rPr>
          <w:sz w:val="20"/>
          <w:szCs w:val="20"/>
        </w:rPr>
        <w:t>Firm</w:t>
      </w:r>
      <w:r w:rsidRPr="005B2BB4">
        <w:rPr>
          <w:sz w:val="20"/>
          <w:szCs w:val="20"/>
        </w:rPr>
        <w:t xml:space="preserve"> to accept or reject? </w:t>
      </w:r>
    </w:p>
    <w:p w14:paraId="71B7C721"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If the State</w:t>
      </w:r>
      <w:r w:rsidR="002E3370" w:rsidRPr="005B2BB4">
        <w:rPr>
          <w:sz w:val="20"/>
          <w:szCs w:val="20"/>
        </w:rPr>
        <w:t xml:space="preserve"> agen</w:t>
      </w:r>
      <w:r w:rsidR="00791E87">
        <w:rPr>
          <w:sz w:val="20"/>
          <w:szCs w:val="20"/>
        </w:rPr>
        <w:t>cies</w:t>
      </w:r>
      <w:r w:rsidRPr="005B2BB4">
        <w:rPr>
          <w:sz w:val="20"/>
          <w:szCs w:val="20"/>
        </w:rPr>
        <w:t xml:space="preserve"> </w:t>
      </w:r>
      <w:r w:rsidR="00791E87">
        <w:rPr>
          <w:sz w:val="20"/>
          <w:szCs w:val="20"/>
        </w:rPr>
        <w:t>are</w:t>
      </w:r>
      <w:r w:rsidRPr="005B2BB4">
        <w:rPr>
          <w:sz w:val="20"/>
          <w:szCs w:val="20"/>
        </w:rPr>
        <w:t xml:space="preserve"> unable to provide a “pay” or “no pay” decision before the deadline, what happens? Does the </w:t>
      </w:r>
      <w:r w:rsidR="001F0BD1" w:rsidRPr="005B2BB4">
        <w:rPr>
          <w:sz w:val="20"/>
          <w:szCs w:val="20"/>
        </w:rPr>
        <w:t>Firm</w:t>
      </w:r>
      <w:r w:rsidRPr="005B2BB4">
        <w:rPr>
          <w:sz w:val="20"/>
          <w:szCs w:val="20"/>
        </w:rPr>
        <w:t xml:space="preserve"> offer a “do not pay” default?</w:t>
      </w:r>
    </w:p>
    <w:p w14:paraId="325F1F4C"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What are the options for transmitting check issuance information to the </w:t>
      </w:r>
      <w:r w:rsidR="001F0BD1" w:rsidRPr="005B2BB4">
        <w:rPr>
          <w:sz w:val="20"/>
          <w:szCs w:val="20"/>
        </w:rPr>
        <w:t>Firm</w:t>
      </w:r>
      <w:r w:rsidRPr="005B2BB4">
        <w:rPr>
          <w:sz w:val="20"/>
          <w:szCs w:val="20"/>
        </w:rPr>
        <w:t xml:space="preserve"> for positive pay services?</w:t>
      </w:r>
    </w:p>
    <w:p w14:paraId="06406614"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Does the </w:t>
      </w:r>
      <w:r w:rsidR="001F0BD1" w:rsidRPr="005B2BB4">
        <w:rPr>
          <w:sz w:val="20"/>
          <w:szCs w:val="20"/>
        </w:rPr>
        <w:t>Firm</w:t>
      </w:r>
      <w:r w:rsidRPr="005B2BB4">
        <w:rPr>
          <w:sz w:val="20"/>
          <w:szCs w:val="20"/>
        </w:rPr>
        <w:t xml:space="preserve"> offer the ability </w:t>
      </w:r>
      <w:proofErr w:type="gramStart"/>
      <w:r w:rsidRPr="005B2BB4">
        <w:rPr>
          <w:sz w:val="20"/>
          <w:szCs w:val="20"/>
        </w:rPr>
        <w:t>to manually enter</w:t>
      </w:r>
      <w:proofErr w:type="gramEnd"/>
      <w:r w:rsidRPr="005B2BB4">
        <w:rPr>
          <w:sz w:val="20"/>
          <w:szCs w:val="20"/>
        </w:rPr>
        <w:t xml:space="preserve"> one-time check disbursements issued during the day outside of the regular batch file? How quickly will the teller line receive this information? </w:t>
      </w:r>
    </w:p>
    <w:p w14:paraId="6F98BAF8"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How quickly will transmission files of additional checks and/or recently voided items be available across the </w:t>
      </w:r>
      <w:r w:rsidR="001F0BD1" w:rsidRPr="005B2BB4">
        <w:rPr>
          <w:sz w:val="20"/>
          <w:szCs w:val="20"/>
        </w:rPr>
        <w:t>Firm</w:t>
      </w:r>
      <w:r w:rsidRPr="005B2BB4">
        <w:rPr>
          <w:sz w:val="20"/>
          <w:szCs w:val="20"/>
        </w:rPr>
        <w:t>’s platform (including branch tellers)? Is there a limit to the number of files per day?</w:t>
      </w:r>
    </w:p>
    <w:p w14:paraId="5149B4A7"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Does the </w:t>
      </w:r>
      <w:r w:rsidR="001F0BD1" w:rsidRPr="005B2BB4">
        <w:rPr>
          <w:sz w:val="20"/>
          <w:szCs w:val="20"/>
        </w:rPr>
        <w:t>Firm</w:t>
      </w:r>
      <w:r w:rsidRPr="005B2BB4">
        <w:rPr>
          <w:sz w:val="20"/>
          <w:szCs w:val="20"/>
        </w:rPr>
        <w:t xml:space="preserve"> confirm receipt of transmission files? If so, what options are available for the State </w:t>
      </w:r>
      <w:r w:rsidR="002E3370" w:rsidRPr="00844BA2">
        <w:rPr>
          <w:sz w:val="20"/>
          <w:szCs w:val="20"/>
        </w:rPr>
        <w:t>agenc</w:t>
      </w:r>
      <w:r w:rsidR="00791E87">
        <w:rPr>
          <w:sz w:val="20"/>
          <w:szCs w:val="20"/>
        </w:rPr>
        <w:t>ies</w:t>
      </w:r>
      <w:r w:rsidR="002E3370" w:rsidRPr="00844BA2">
        <w:rPr>
          <w:sz w:val="20"/>
          <w:szCs w:val="20"/>
        </w:rPr>
        <w:t xml:space="preserve"> </w:t>
      </w:r>
      <w:r w:rsidRPr="005B2BB4">
        <w:rPr>
          <w:sz w:val="20"/>
          <w:szCs w:val="20"/>
        </w:rPr>
        <w:t>to receive confirmation?</w:t>
      </w:r>
    </w:p>
    <w:p w14:paraId="13A44E8D"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How </w:t>
      </w:r>
      <w:proofErr w:type="gramStart"/>
      <w:r w:rsidRPr="005B2BB4">
        <w:rPr>
          <w:sz w:val="20"/>
          <w:szCs w:val="20"/>
        </w:rPr>
        <w:t>is payee information captured</w:t>
      </w:r>
      <w:proofErr w:type="gramEnd"/>
      <w:r w:rsidRPr="005B2BB4">
        <w:rPr>
          <w:sz w:val="20"/>
          <w:szCs w:val="20"/>
        </w:rPr>
        <w:t xml:space="preserve"> from the physical checks? What steps does the </w:t>
      </w:r>
      <w:r w:rsidR="001F0BD1" w:rsidRPr="005B2BB4">
        <w:rPr>
          <w:sz w:val="20"/>
          <w:szCs w:val="20"/>
        </w:rPr>
        <w:t>Firm</w:t>
      </w:r>
      <w:r w:rsidRPr="005B2BB4">
        <w:rPr>
          <w:sz w:val="20"/>
          <w:szCs w:val="20"/>
        </w:rPr>
        <w:t xml:space="preserve"> take to prevent exception items </w:t>
      </w:r>
      <w:proofErr w:type="gramStart"/>
      <w:r w:rsidRPr="005B2BB4">
        <w:rPr>
          <w:sz w:val="20"/>
          <w:szCs w:val="20"/>
        </w:rPr>
        <w:t>being flagged</w:t>
      </w:r>
      <w:proofErr w:type="gramEnd"/>
      <w:r w:rsidRPr="005B2BB4">
        <w:rPr>
          <w:sz w:val="20"/>
          <w:szCs w:val="20"/>
        </w:rPr>
        <w:t xml:space="preserve"> due to erroneous capture of payee information? </w:t>
      </w:r>
    </w:p>
    <w:p w14:paraId="21662F92" w14:textId="77777777" w:rsidR="003D6A92" w:rsidRPr="005B2BB4" w:rsidRDefault="003D6A92" w:rsidP="00715603">
      <w:pPr>
        <w:pStyle w:val="ListParagraph"/>
        <w:numPr>
          <w:ilvl w:val="0"/>
          <w:numId w:val="24"/>
        </w:numPr>
        <w:spacing w:after="160" w:line="259" w:lineRule="auto"/>
        <w:jc w:val="both"/>
        <w:rPr>
          <w:sz w:val="20"/>
          <w:szCs w:val="20"/>
        </w:rPr>
      </w:pPr>
      <w:r w:rsidRPr="005B2BB4">
        <w:rPr>
          <w:sz w:val="20"/>
          <w:szCs w:val="20"/>
        </w:rPr>
        <w:t xml:space="preserve">How </w:t>
      </w:r>
      <w:proofErr w:type="gramStart"/>
      <w:r w:rsidRPr="005B2BB4">
        <w:rPr>
          <w:sz w:val="20"/>
          <w:szCs w:val="20"/>
        </w:rPr>
        <w:t>are stale-dated checks identified</w:t>
      </w:r>
      <w:proofErr w:type="gramEnd"/>
      <w:r w:rsidRPr="005B2BB4">
        <w:rPr>
          <w:sz w:val="20"/>
          <w:szCs w:val="20"/>
        </w:rPr>
        <w:t>? (</w:t>
      </w:r>
      <w:proofErr w:type="gramStart"/>
      <w:r w:rsidRPr="005B2BB4">
        <w:rPr>
          <w:sz w:val="20"/>
          <w:szCs w:val="20"/>
        </w:rPr>
        <w:t>i.e</w:t>
      </w:r>
      <w:proofErr w:type="gramEnd"/>
      <w:r w:rsidRPr="005B2BB4">
        <w:rPr>
          <w:sz w:val="20"/>
          <w:szCs w:val="20"/>
        </w:rPr>
        <w:t>. are these checks automatically removed from the issue file after a set number of days or does the State need to send a file removing the checks from the issue file?)</w:t>
      </w:r>
    </w:p>
    <w:p w14:paraId="683BBE4A" w14:textId="77777777" w:rsidR="003D6A92" w:rsidRPr="005B2BB4" w:rsidRDefault="003D6A92" w:rsidP="001777FA">
      <w:pPr>
        <w:pStyle w:val="ListParagraph"/>
        <w:numPr>
          <w:ilvl w:val="0"/>
          <w:numId w:val="24"/>
        </w:numPr>
        <w:spacing w:after="160" w:line="259" w:lineRule="auto"/>
        <w:rPr>
          <w:sz w:val="20"/>
          <w:szCs w:val="20"/>
        </w:rPr>
      </w:pPr>
      <w:r w:rsidRPr="005B2BB4">
        <w:rPr>
          <w:sz w:val="20"/>
          <w:szCs w:val="20"/>
        </w:rPr>
        <w:t xml:space="preserve">If a stale-dated check is presented, will it be reported to the State </w:t>
      </w:r>
      <w:r w:rsidR="00D24B5F" w:rsidRPr="00844BA2">
        <w:rPr>
          <w:sz w:val="20"/>
          <w:szCs w:val="20"/>
        </w:rPr>
        <w:t>agenc</w:t>
      </w:r>
      <w:r w:rsidR="00791E87">
        <w:rPr>
          <w:sz w:val="20"/>
          <w:szCs w:val="20"/>
        </w:rPr>
        <w:t>ies</w:t>
      </w:r>
      <w:r w:rsidR="00D24B5F" w:rsidRPr="00844BA2">
        <w:rPr>
          <w:sz w:val="20"/>
          <w:szCs w:val="20"/>
        </w:rPr>
        <w:t xml:space="preserve"> </w:t>
      </w:r>
      <w:r w:rsidRPr="005B2BB4">
        <w:rPr>
          <w:sz w:val="20"/>
          <w:szCs w:val="20"/>
        </w:rPr>
        <w:t>as an (</w:t>
      </w:r>
      <w:proofErr w:type="spellStart"/>
      <w:r w:rsidRPr="005B2BB4">
        <w:rPr>
          <w:sz w:val="20"/>
          <w:szCs w:val="20"/>
        </w:rPr>
        <w:t>i</w:t>
      </w:r>
      <w:proofErr w:type="spellEnd"/>
      <w:r w:rsidRPr="005B2BB4">
        <w:rPr>
          <w:sz w:val="20"/>
          <w:szCs w:val="20"/>
        </w:rPr>
        <w:t>) exception item because of the date being greater than 180 days, (ii) exception item because of a State</w:t>
      </w:r>
      <w:r w:rsidR="00D24B5F" w:rsidRPr="00844BA2">
        <w:rPr>
          <w:sz w:val="20"/>
          <w:szCs w:val="20"/>
        </w:rPr>
        <w:t xml:space="preserve"> agency</w:t>
      </w:r>
      <w:r w:rsidRPr="005B2BB4">
        <w:rPr>
          <w:sz w:val="20"/>
          <w:szCs w:val="20"/>
        </w:rPr>
        <w:t xml:space="preserve"> initiated </w:t>
      </w:r>
      <w:r w:rsidR="007472E2" w:rsidRPr="005B2BB4">
        <w:rPr>
          <w:sz w:val="20"/>
          <w:szCs w:val="20"/>
        </w:rPr>
        <w:t xml:space="preserve">a </w:t>
      </w:r>
      <w:r w:rsidRPr="005B2BB4">
        <w:rPr>
          <w:sz w:val="20"/>
          <w:szCs w:val="20"/>
        </w:rPr>
        <w:t xml:space="preserve">void on file for the issued check, or (iii) automatically returned? </w:t>
      </w:r>
    </w:p>
    <w:p w14:paraId="57001D4F" w14:textId="77777777" w:rsidR="003D6A92" w:rsidRPr="005B2BB4" w:rsidRDefault="003D6A92" w:rsidP="001777FA">
      <w:pPr>
        <w:pStyle w:val="ListParagraph"/>
        <w:numPr>
          <w:ilvl w:val="0"/>
          <w:numId w:val="24"/>
        </w:numPr>
        <w:spacing w:after="160" w:line="259" w:lineRule="auto"/>
        <w:rPr>
          <w:sz w:val="20"/>
          <w:szCs w:val="20"/>
        </w:rPr>
      </w:pPr>
      <w:r w:rsidRPr="005B2BB4">
        <w:rPr>
          <w:sz w:val="20"/>
          <w:szCs w:val="20"/>
        </w:rPr>
        <w:t xml:space="preserve">If </w:t>
      </w:r>
      <w:proofErr w:type="gramStart"/>
      <w:r w:rsidRPr="005B2BB4">
        <w:rPr>
          <w:sz w:val="20"/>
          <w:szCs w:val="20"/>
        </w:rPr>
        <w:t>a disbursement check is deposited by the payee using mobile technology and he/she accidentally</w:t>
      </w:r>
      <w:proofErr w:type="gramEnd"/>
      <w:r w:rsidRPr="005B2BB4">
        <w:rPr>
          <w:sz w:val="20"/>
          <w:szCs w:val="20"/>
        </w:rPr>
        <w:t xml:space="preserve"> attempts to deposit the item a second time, will your Firm's positive pay service identify this item as an exception or will it be automatically returned as a duplicate item? How does this item appear in the State</w:t>
      </w:r>
      <w:r w:rsidR="00D24B5F" w:rsidRPr="00844BA2">
        <w:rPr>
          <w:sz w:val="20"/>
          <w:szCs w:val="20"/>
        </w:rPr>
        <w:t xml:space="preserve"> agenc</w:t>
      </w:r>
      <w:r w:rsidR="00791E87">
        <w:rPr>
          <w:sz w:val="20"/>
          <w:szCs w:val="20"/>
        </w:rPr>
        <w:t>ies’</w:t>
      </w:r>
      <w:r w:rsidRPr="005B2BB4">
        <w:rPr>
          <w:sz w:val="20"/>
          <w:szCs w:val="20"/>
        </w:rPr>
        <w:t xml:space="preserve"> daily reports?  </w:t>
      </w:r>
    </w:p>
    <w:p w14:paraId="3A714647" w14:textId="77777777" w:rsidR="003D6A92" w:rsidRPr="005B2BB4" w:rsidRDefault="003D6A92" w:rsidP="001777FA">
      <w:pPr>
        <w:pStyle w:val="ListParagraph"/>
        <w:numPr>
          <w:ilvl w:val="0"/>
          <w:numId w:val="24"/>
        </w:numPr>
        <w:spacing w:after="160" w:line="259" w:lineRule="auto"/>
        <w:rPr>
          <w:sz w:val="20"/>
          <w:szCs w:val="20"/>
        </w:rPr>
      </w:pPr>
      <w:proofErr w:type="gramStart"/>
      <w:r w:rsidRPr="005B2BB4">
        <w:rPr>
          <w:sz w:val="20"/>
          <w:szCs w:val="20"/>
        </w:rPr>
        <w:t xml:space="preserve">Will the </w:t>
      </w:r>
      <w:r w:rsidR="001F0BD1" w:rsidRPr="005B2BB4">
        <w:rPr>
          <w:sz w:val="20"/>
          <w:szCs w:val="20"/>
        </w:rPr>
        <w:t>Firm</w:t>
      </w:r>
      <w:r w:rsidR="00715603" w:rsidRPr="005B2BB4">
        <w:rPr>
          <w:sz w:val="20"/>
          <w:szCs w:val="20"/>
        </w:rPr>
        <w:t xml:space="preserve"> </w:t>
      </w:r>
      <w:r w:rsidRPr="005B2BB4">
        <w:rPr>
          <w:sz w:val="20"/>
          <w:szCs w:val="20"/>
        </w:rPr>
        <w:t>cash checks</w:t>
      </w:r>
      <w:r w:rsidR="005C0FE9">
        <w:rPr>
          <w:sz w:val="20"/>
          <w:szCs w:val="20"/>
        </w:rPr>
        <w:t xml:space="preserve"> </w:t>
      </w:r>
      <w:r w:rsidRPr="005B2BB4">
        <w:rPr>
          <w:sz w:val="20"/>
          <w:szCs w:val="20"/>
        </w:rPr>
        <w:t xml:space="preserve">issued by </w:t>
      </w:r>
      <w:r w:rsidR="002E3370" w:rsidRPr="00844BA2">
        <w:rPr>
          <w:sz w:val="20"/>
          <w:szCs w:val="20"/>
        </w:rPr>
        <w:t>a</w:t>
      </w:r>
      <w:r w:rsidRPr="005B2BB4">
        <w:rPr>
          <w:sz w:val="20"/>
          <w:szCs w:val="20"/>
        </w:rPr>
        <w:t xml:space="preserve"> State</w:t>
      </w:r>
      <w:r w:rsidR="002E3370" w:rsidRPr="00844BA2">
        <w:rPr>
          <w:sz w:val="20"/>
          <w:szCs w:val="20"/>
        </w:rPr>
        <w:t xml:space="preserve"> agency</w:t>
      </w:r>
      <w:r w:rsidRPr="005B2BB4">
        <w:rPr>
          <w:sz w:val="20"/>
          <w:szCs w:val="20"/>
        </w:rPr>
        <w:t xml:space="preserve"> </w:t>
      </w:r>
      <w:r w:rsidR="005C0FE9">
        <w:rPr>
          <w:sz w:val="20"/>
          <w:szCs w:val="20"/>
        </w:rPr>
        <w:t xml:space="preserve">drawn on a bank account maintained by your financial institution and </w:t>
      </w:r>
      <w:r w:rsidRPr="005B2BB4">
        <w:rPr>
          <w:sz w:val="20"/>
          <w:szCs w:val="20"/>
        </w:rPr>
        <w:t>presented by a non-account holder at no cost to either the State</w:t>
      </w:r>
      <w:r w:rsidR="002E3370" w:rsidRPr="00844BA2">
        <w:rPr>
          <w:sz w:val="20"/>
          <w:szCs w:val="20"/>
        </w:rPr>
        <w:t xml:space="preserve"> agency</w:t>
      </w:r>
      <w:r w:rsidRPr="005B2BB4">
        <w:rPr>
          <w:sz w:val="20"/>
          <w:szCs w:val="20"/>
        </w:rPr>
        <w:t xml:space="preserve"> or the payee?</w:t>
      </w:r>
      <w:proofErr w:type="gramEnd"/>
      <w:r w:rsidR="005C0FE9">
        <w:rPr>
          <w:sz w:val="20"/>
          <w:szCs w:val="20"/>
        </w:rPr>
        <w:t xml:space="preserve"> </w:t>
      </w:r>
      <w:r w:rsidR="005C0FE9" w:rsidRPr="005C0FE9">
        <w:rPr>
          <w:i/>
          <w:sz w:val="20"/>
          <w:szCs w:val="20"/>
        </w:rPr>
        <w:t>(Note: This is</w:t>
      </w:r>
      <w:r w:rsidR="005C0FE9">
        <w:rPr>
          <w:i/>
          <w:sz w:val="20"/>
          <w:szCs w:val="20"/>
        </w:rPr>
        <w:t xml:space="preserve"> a highly desirable feature by State agencies</w:t>
      </w:r>
      <w:r w:rsidR="005C0FE9">
        <w:rPr>
          <w:sz w:val="20"/>
          <w:szCs w:val="20"/>
        </w:rPr>
        <w:t>.)</w:t>
      </w:r>
    </w:p>
    <w:p w14:paraId="26A1DED2" w14:textId="77777777" w:rsidR="003D6A92" w:rsidRPr="005B2BB4" w:rsidRDefault="003D6A92" w:rsidP="001777FA">
      <w:pPr>
        <w:pStyle w:val="ListParagraph"/>
        <w:numPr>
          <w:ilvl w:val="1"/>
          <w:numId w:val="24"/>
        </w:numPr>
        <w:spacing w:after="160" w:line="259" w:lineRule="auto"/>
        <w:rPr>
          <w:sz w:val="20"/>
          <w:szCs w:val="20"/>
        </w:rPr>
      </w:pPr>
      <w:r w:rsidRPr="005B2BB4">
        <w:rPr>
          <w:sz w:val="20"/>
          <w:szCs w:val="20"/>
        </w:rPr>
        <w:t>If so, is a check cashing agreement required?</w:t>
      </w:r>
    </w:p>
    <w:p w14:paraId="2AEDEDA4" w14:textId="77777777" w:rsidR="003D6A92" w:rsidRPr="005B2BB4" w:rsidRDefault="003D6A92" w:rsidP="001777FA">
      <w:pPr>
        <w:pStyle w:val="ListParagraph"/>
        <w:numPr>
          <w:ilvl w:val="1"/>
          <w:numId w:val="24"/>
        </w:numPr>
        <w:spacing w:after="160" w:line="259" w:lineRule="auto"/>
        <w:rPr>
          <w:sz w:val="20"/>
          <w:szCs w:val="20"/>
        </w:rPr>
      </w:pPr>
      <w:r w:rsidRPr="005B2BB4">
        <w:rPr>
          <w:sz w:val="20"/>
          <w:szCs w:val="20"/>
        </w:rPr>
        <w:t>If not, what is the fee for the State</w:t>
      </w:r>
      <w:r w:rsidR="002E3370" w:rsidRPr="00844BA2">
        <w:rPr>
          <w:sz w:val="20"/>
          <w:szCs w:val="20"/>
        </w:rPr>
        <w:t xml:space="preserve"> agency</w:t>
      </w:r>
      <w:r w:rsidRPr="005B2BB4">
        <w:rPr>
          <w:sz w:val="20"/>
          <w:szCs w:val="20"/>
        </w:rPr>
        <w:t xml:space="preserve"> and/or the payee?</w:t>
      </w:r>
    </w:p>
    <w:p w14:paraId="04C26DC5" w14:textId="77777777" w:rsidR="003D6A92" w:rsidRPr="005B2BB4" w:rsidRDefault="003D6A92" w:rsidP="001777FA">
      <w:pPr>
        <w:pStyle w:val="ListParagraph"/>
        <w:numPr>
          <w:ilvl w:val="0"/>
          <w:numId w:val="18"/>
        </w:numPr>
        <w:tabs>
          <w:tab w:val="left" w:pos="1080"/>
        </w:tabs>
        <w:spacing w:after="160" w:line="259" w:lineRule="auto"/>
        <w:rPr>
          <w:sz w:val="20"/>
          <w:szCs w:val="20"/>
        </w:rPr>
      </w:pPr>
      <w:r w:rsidRPr="005B2BB4">
        <w:rPr>
          <w:sz w:val="20"/>
          <w:szCs w:val="20"/>
        </w:rPr>
        <w:t>Stop Payments</w:t>
      </w:r>
    </w:p>
    <w:p w14:paraId="31F9D318" w14:textId="77777777" w:rsidR="003D6A92" w:rsidRPr="005B2BB4" w:rsidRDefault="003D6A92" w:rsidP="001777FA">
      <w:pPr>
        <w:pStyle w:val="ListParagraph"/>
        <w:numPr>
          <w:ilvl w:val="0"/>
          <w:numId w:val="26"/>
        </w:numPr>
        <w:spacing w:after="160" w:line="259" w:lineRule="auto"/>
        <w:rPr>
          <w:sz w:val="20"/>
          <w:szCs w:val="20"/>
        </w:rPr>
      </w:pPr>
      <w:r w:rsidRPr="005B2BB4">
        <w:rPr>
          <w:sz w:val="20"/>
          <w:szCs w:val="20"/>
        </w:rPr>
        <w:t xml:space="preserve">What initial term options are available for stop payments? </w:t>
      </w:r>
    </w:p>
    <w:p w14:paraId="5823FFDB" w14:textId="77777777" w:rsidR="003D6A92" w:rsidRPr="005B2BB4" w:rsidRDefault="003D6A92" w:rsidP="001777FA">
      <w:pPr>
        <w:pStyle w:val="ListParagraph"/>
        <w:numPr>
          <w:ilvl w:val="0"/>
          <w:numId w:val="26"/>
        </w:numPr>
        <w:spacing w:after="160" w:line="259" w:lineRule="auto"/>
        <w:rPr>
          <w:sz w:val="20"/>
          <w:szCs w:val="20"/>
        </w:rPr>
      </w:pPr>
      <w:r w:rsidRPr="005B2BB4">
        <w:rPr>
          <w:sz w:val="20"/>
          <w:szCs w:val="20"/>
        </w:rPr>
        <w:t xml:space="preserve">Will the system automatically verify if a check </w:t>
      </w:r>
      <w:proofErr w:type="gramStart"/>
      <w:r w:rsidRPr="005B2BB4">
        <w:rPr>
          <w:sz w:val="20"/>
          <w:szCs w:val="20"/>
        </w:rPr>
        <w:t>has been paid</w:t>
      </w:r>
      <w:proofErr w:type="gramEnd"/>
      <w:r w:rsidRPr="005B2BB4">
        <w:rPr>
          <w:sz w:val="20"/>
          <w:szCs w:val="20"/>
        </w:rPr>
        <w:t xml:space="preserve"> before processing the stop payment? </w:t>
      </w:r>
    </w:p>
    <w:p w14:paraId="781B60FA" w14:textId="77777777" w:rsidR="003D6A92" w:rsidRPr="005B2BB4" w:rsidRDefault="003D6A92" w:rsidP="001777FA">
      <w:pPr>
        <w:pStyle w:val="ListParagraph"/>
        <w:numPr>
          <w:ilvl w:val="0"/>
          <w:numId w:val="26"/>
        </w:numPr>
        <w:spacing w:after="160" w:line="259" w:lineRule="auto"/>
        <w:rPr>
          <w:sz w:val="20"/>
          <w:szCs w:val="20"/>
        </w:rPr>
      </w:pPr>
      <w:r w:rsidRPr="005B2BB4">
        <w:rPr>
          <w:sz w:val="20"/>
          <w:szCs w:val="20"/>
        </w:rPr>
        <w:t xml:space="preserve">Is there a report that lists stop payments that are set to expire?  </w:t>
      </w:r>
    </w:p>
    <w:p w14:paraId="4D6450A7" w14:textId="77777777" w:rsidR="003D6A92" w:rsidRPr="005B2BB4" w:rsidRDefault="003D6A92" w:rsidP="001777FA">
      <w:pPr>
        <w:pStyle w:val="ListParagraph"/>
        <w:numPr>
          <w:ilvl w:val="0"/>
          <w:numId w:val="26"/>
        </w:numPr>
        <w:spacing w:after="160" w:line="259" w:lineRule="auto"/>
        <w:rPr>
          <w:sz w:val="20"/>
          <w:szCs w:val="20"/>
        </w:rPr>
      </w:pPr>
      <w:r w:rsidRPr="005B2BB4">
        <w:rPr>
          <w:sz w:val="20"/>
          <w:szCs w:val="20"/>
        </w:rPr>
        <w:t xml:space="preserve">If using positive pay, </w:t>
      </w:r>
      <w:proofErr w:type="gramStart"/>
      <w:r w:rsidRPr="005B2BB4">
        <w:rPr>
          <w:sz w:val="20"/>
          <w:szCs w:val="20"/>
        </w:rPr>
        <w:t>can a cancel be placed</w:t>
      </w:r>
      <w:proofErr w:type="gramEnd"/>
      <w:r w:rsidRPr="005B2BB4">
        <w:rPr>
          <w:sz w:val="20"/>
          <w:szCs w:val="20"/>
        </w:rPr>
        <w:t xml:space="preserve"> on an outstanding check in lieu of a stop payment? </w:t>
      </w:r>
    </w:p>
    <w:p w14:paraId="1C76FDFF" w14:textId="77777777" w:rsidR="003D6A92" w:rsidRPr="003D6A92" w:rsidRDefault="003D6A92" w:rsidP="0018673B">
      <w:pPr>
        <w:pStyle w:val="ListParagraph"/>
        <w:keepNext/>
        <w:numPr>
          <w:ilvl w:val="0"/>
          <w:numId w:val="18"/>
        </w:numPr>
        <w:tabs>
          <w:tab w:val="left" w:pos="1080"/>
        </w:tabs>
        <w:spacing w:after="160" w:line="259" w:lineRule="auto"/>
        <w:rPr>
          <w:sz w:val="20"/>
          <w:szCs w:val="20"/>
        </w:rPr>
      </w:pPr>
      <w:r w:rsidRPr="003D6A92">
        <w:rPr>
          <w:sz w:val="20"/>
          <w:szCs w:val="20"/>
        </w:rPr>
        <w:t>System Administration</w:t>
      </w:r>
    </w:p>
    <w:p w14:paraId="1BFAE59F" w14:textId="77777777" w:rsidR="003D6A92" w:rsidRPr="003D6A92" w:rsidRDefault="0053788A" w:rsidP="001777FA">
      <w:pPr>
        <w:pStyle w:val="ListParagraph"/>
        <w:numPr>
          <w:ilvl w:val="0"/>
          <w:numId w:val="30"/>
        </w:numPr>
        <w:spacing w:after="160" w:line="259" w:lineRule="auto"/>
        <w:rPr>
          <w:sz w:val="20"/>
          <w:szCs w:val="20"/>
        </w:rPr>
      </w:pPr>
      <w:r>
        <w:rPr>
          <w:sz w:val="20"/>
          <w:szCs w:val="20"/>
        </w:rPr>
        <w:t xml:space="preserve">Please describe your Firm’s </w:t>
      </w:r>
      <w:r w:rsidR="003D6A92" w:rsidRPr="003D6A92">
        <w:rPr>
          <w:sz w:val="20"/>
          <w:szCs w:val="20"/>
        </w:rPr>
        <w:t xml:space="preserve">system administration capabilities. </w:t>
      </w:r>
      <w:proofErr w:type="gramStart"/>
      <w:r w:rsidR="003D6A92" w:rsidRPr="003D6A92">
        <w:rPr>
          <w:sz w:val="20"/>
          <w:szCs w:val="20"/>
        </w:rPr>
        <w:t>Can a multi</w:t>
      </w:r>
      <w:r w:rsidR="00D62640">
        <w:rPr>
          <w:sz w:val="20"/>
          <w:szCs w:val="20"/>
        </w:rPr>
        <w:t xml:space="preserve">level </w:t>
      </w:r>
      <w:r w:rsidR="003D6A92" w:rsidRPr="003D6A92">
        <w:rPr>
          <w:sz w:val="20"/>
          <w:szCs w:val="20"/>
        </w:rPr>
        <w:t>hierarchy be establ</w:t>
      </w:r>
      <w:r w:rsidR="00991CF8">
        <w:rPr>
          <w:sz w:val="20"/>
          <w:szCs w:val="20"/>
        </w:rPr>
        <w:t>ished</w:t>
      </w:r>
      <w:proofErr w:type="gramEnd"/>
      <w:r w:rsidR="00991CF8">
        <w:rPr>
          <w:sz w:val="20"/>
          <w:szCs w:val="20"/>
        </w:rPr>
        <w:t xml:space="preserve"> (i.e. Treasury (parent), a</w:t>
      </w:r>
      <w:r w:rsidR="003D6A92" w:rsidRPr="003D6A92">
        <w:rPr>
          <w:sz w:val="20"/>
          <w:szCs w:val="20"/>
        </w:rPr>
        <w:t>gency (child), user (</w:t>
      </w:r>
      <w:r w:rsidR="00EA799E" w:rsidRPr="003D6A92">
        <w:rPr>
          <w:sz w:val="20"/>
          <w:szCs w:val="20"/>
        </w:rPr>
        <w:t>grandchild</w:t>
      </w:r>
      <w:r w:rsidR="003D6A92" w:rsidRPr="003D6A92">
        <w:rPr>
          <w:sz w:val="20"/>
          <w:szCs w:val="20"/>
        </w:rPr>
        <w:t xml:space="preserve">))? </w:t>
      </w:r>
    </w:p>
    <w:p w14:paraId="0347D144" w14:textId="77777777" w:rsidR="003D6A92" w:rsidRPr="003D6A92" w:rsidRDefault="003D6A92" w:rsidP="001777FA">
      <w:pPr>
        <w:pStyle w:val="ListParagraph"/>
        <w:numPr>
          <w:ilvl w:val="0"/>
          <w:numId w:val="30"/>
        </w:numPr>
        <w:spacing w:after="160" w:line="259" w:lineRule="auto"/>
        <w:rPr>
          <w:sz w:val="20"/>
          <w:szCs w:val="20"/>
        </w:rPr>
      </w:pPr>
      <w:proofErr w:type="gramStart"/>
      <w:r w:rsidRPr="003D6A92">
        <w:rPr>
          <w:sz w:val="20"/>
          <w:szCs w:val="20"/>
        </w:rPr>
        <w:t>Can additional hierarchy levels be added</w:t>
      </w:r>
      <w:proofErr w:type="gramEnd"/>
      <w:r w:rsidRPr="003D6A92">
        <w:rPr>
          <w:sz w:val="20"/>
          <w:szCs w:val="20"/>
        </w:rPr>
        <w:t>?</w:t>
      </w:r>
    </w:p>
    <w:p w14:paraId="7533E2A2" w14:textId="77777777" w:rsidR="003D6A92" w:rsidRPr="00453AB9" w:rsidRDefault="003D6A92" w:rsidP="001777FA">
      <w:pPr>
        <w:pStyle w:val="ListParagraph"/>
        <w:numPr>
          <w:ilvl w:val="0"/>
          <w:numId w:val="30"/>
        </w:numPr>
        <w:spacing w:after="160" w:line="259" w:lineRule="auto"/>
        <w:rPr>
          <w:sz w:val="20"/>
          <w:szCs w:val="20"/>
        </w:rPr>
      </w:pPr>
      <w:r w:rsidRPr="003D6A92">
        <w:rPr>
          <w:sz w:val="20"/>
          <w:szCs w:val="20"/>
        </w:rPr>
        <w:t>Describe the process of granting entitlements and a</w:t>
      </w:r>
      <w:r w:rsidR="00991CF8">
        <w:rPr>
          <w:sz w:val="20"/>
          <w:szCs w:val="20"/>
        </w:rPr>
        <w:t xml:space="preserve">ccess to individual users. Can </w:t>
      </w:r>
      <w:r w:rsidR="00791E87">
        <w:rPr>
          <w:sz w:val="20"/>
          <w:szCs w:val="20"/>
        </w:rPr>
        <w:t xml:space="preserve">State </w:t>
      </w:r>
      <w:r w:rsidR="00991CF8">
        <w:rPr>
          <w:sz w:val="20"/>
          <w:szCs w:val="20"/>
        </w:rPr>
        <w:t>a</w:t>
      </w:r>
      <w:r w:rsidRPr="003D6A92">
        <w:rPr>
          <w:sz w:val="20"/>
          <w:szCs w:val="20"/>
        </w:rPr>
        <w:t xml:space="preserve">gency </w:t>
      </w:r>
      <w:r w:rsidRPr="00453AB9">
        <w:rPr>
          <w:sz w:val="20"/>
          <w:szCs w:val="20"/>
        </w:rPr>
        <w:t>heads (child) be delegated the responsibility for maintaining end-user (</w:t>
      </w:r>
      <w:r w:rsidR="00EA799E" w:rsidRPr="00453AB9">
        <w:rPr>
          <w:sz w:val="20"/>
          <w:szCs w:val="20"/>
        </w:rPr>
        <w:t>grandchild</w:t>
      </w:r>
      <w:r w:rsidRPr="00453AB9">
        <w:rPr>
          <w:sz w:val="20"/>
          <w:szCs w:val="20"/>
        </w:rPr>
        <w:t xml:space="preserve">) entitlements? </w:t>
      </w:r>
    </w:p>
    <w:p w14:paraId="628A6540" w14:textId="77777777" w:rsidR="003D6A92" w:rsidRPr="00453AB9" w:rsidRDefault="003D6A92" w:rsidP="001777FA">
      <w:pPr>
        <w:pStyle w:val="ListParagraph"/>
        <w:numPr>
          <w:ilvl w:val="0"/>
          <w:numId w:val="30"/>
        </w:numPr>
        <w:spacing w:after="160" w:line="259" w:lineRule="auto"/>
        <w:rPr>
          <w:sz w:val="20"/>
          <w:szCs w:val="20"/>
        </w:rPr>
      </w:pPr>
      <w:r w:rsidRPr="00453AB9">
        <w:rPr>
          <w:sz w:val="20"/>
          <w:szCs w:val="20"/>
        </w:rPr>
        <w:t xml:space="preserve">Can the State designate administrators? </w:t>
      </w:r>
    </w:p>
    <w:p w14:paraId="725B3784" w14:textId="77777777" w:rsidR="003D6A92" w:rsidRPr="00453AB9" w:rsidRDefault="003D6A92" w:rsidP="001777FA">
      <w:pPr>
        <w:pStyle w:val="ListParagraph"/>
        <w:numPr>
          <w:ilvl w:val="0"/>
          <w:numId w:val="30"/>
        </w:numPr>
        <w:spacing w:after="160" w:line="259" w:lineRule="auto"/>
        <w:rPr>
          <w:sz w:val="20"/>
          <w:szCs w:val="20"/>
        </w:rPr>
      </w:pPr>
      <w:r w:rsidRPr="00453AB9">
        <w:rPr>
          <w:sz w:val="20"/>
          <w:szCs w:val="20"/>
        </w:rPr>
        <w:t xml:space="preserve">What levels of authorization (i.e. accounts view, transaction capabilities, etc.) </w:t>
      </w:r>
      <w:proofErr w:type="gramStart"/>
      <w:r w:rsidRPr="00453AB9">
        <w:rPr>
          <w:sz w:val="20"/>
          <w:szCs w:val="20"/>
        </w:rPr>
        <w:t>can be permitted or turned off for individual users</w:t>
      </w:r>
      <w:proofErr w:type="gramEnd"/>
      <w:r w:rsidRPr="00453AB9">
        <w:rPr>
          <w:sz w:val="20"/>
          <w:szCs w:val="20"/>
        </w:rPr>
        <w:t>?</w:t>
      </w:r>
    </w:p>
    <w:p w14:paraId="306DB90B" w14:textId="77777777" w:rsidR="003D6A92" w:rsidRPr="00453AB9" w:rsidRDefault="003D6A92" w:rsidP="001777FA">
      <w:pPr>
        <w:pStyle w:val="ListParagraph"/>
        <w:numPr>
          <w:ilvl w:val="0"/>
          <w:numId w:val="30"/>
        </w:numPr>
        <w:spacing w:after="160" w:line="259" w:lineRule="auto"/>
        <w:rPr>
          <w:sz w:val="20"/>
          <w:szCs w:val="20"/>
        </w:rPr>
      </w:pPr>
      <w:r w:rsidRPr="00453AB9">
        <w:rPr>
          <w:sz w:val="20"/>
          <w:szCs w:val="20"/>
        </w:rPr>
        <w:t xml:space="preserve">When setting up a new user, can a current user’s profile be copied from one user to </w:t>
      </w:r>
      <w:proofErr w:type="gramStart"/>
      <w:r w:rsidRPr="00453AB9">
        <w:rPr>
          <w:sz w:val="20"/>
          <w:szCs w:val="20"/>
        </w:rPr>
        <w:t>another?</w:t>
      </w:r>
      <w:proofErr w:type="gramEnd"/>
      <w:r w:rsidRPr="00453AB9">
        <w:rPr>
          <w:sz w:val="20"/>
          <w:szCs w:val="20"/>
        </w:rPr>
        <w:t xml:space="preserve"> </w:t>
      </w:r>
    </w:p>
    <w:p w14:paraId="7C6098A9" w14:textId="77777777" w:rsidR="003D6A92" w:rsidRPr="00453AB9" w:rsidRDefault="003D6A92" w:rsidP="001777FA">
      <w:pPr>
        <w:pStyle w:val="ListParagraph"/>
        <w:numPr>
          <w:ilvl w:val="0"/>
          <w:numId w:val="18"/>
        </w:numPr>
        <w:tabs>
          <w:tab w:val="left" w:pos="1080"/>
        </w:tabs>
        <w:spacing w:after="160" w:line="259" w:lineRule="auto"/>
        <w:rPr>
          <w:sz w:val="20"/>
          <w:szCs w:val="20"/>
        </w:rPr>
      </w:pPr>
      <w:r w:rsidRPr="00453AB9">
        <w:rPr>
          <w:sz w:val="20"/>
          <w:szCs w:val="20"/>
        </w:rPr>
        <w:t>Online Reporting System</w:t>
      </w:r>
    </w:p>
    <w:p w14:paraId="20CD780B" w14:textId="77777777" w:rsidR="003D6A92" w:rsidRPr="003D6A92" w:rsidRDefault="003D6A92" w:rsidP="001777FA">
      <w:pPr>
        <w:pStyle w:val="ListParagraph"/>
        <w:numPr>
          <w:ilvl w:val="0"/>
          <w:numId w:val="31"/>
        </w:numPr>
        <w:spacing w:after="160" w:line="259" w:lineRule="auto"/>
        <w:rPr>
          <w:sz w:val="20"/>
          <w:szCs w:val="20"/>
        </w:rPr>
      </w:pPr>
      <w:r w:rsidRPr="00453AB9">
        <w:rPr>
          <w:sz w:val="20"/>
          <w:szCs w:val="20"/>
        </w:rPr>
        <w:t>How soon after</w:t>
      </w:r>
      <w:r w:rsidRPr="003D6A92">
        <w:rPr>
          <w:sz w:val="20"/>
          <w:szCs w:val="20"/>
        </w:rPr>
        <w:t xml:space="preserve"> the cut-off </w:t>
      </w:r>
      <w:proofErr w:type="gramStart"/>
      <w:r w:rsidRPr="003D6A92">
        <w:rPr>
          <w:sz w:val="20"/>
          <w:szCs w:val="20"/>
        </w:rPr>
        <w:t>date</w:t>
      </w:r>
      <w:proofErr w:type="gramEnd"/>
      <w:r w:rsidRPr="003D6A92">
        <w:rPr>
          <w:sz w:val="20"/>
          <w:szCs w:val="20"/>
        </w:rPr>
        <w:t xml:space="preserve"> are the following items ready? </w:t>
      </w:r>
    </w:p>
    <w:tbl>
      <w:tblPr>
        <w:tblW w:w="7650" w:type="dxa"/>
        <w:tblInd w:w="144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520"/>
        <w:gridCol w:w="2565"/>
        <w:gridCol w:w="2565"/>
      </w:tblGrid>
      <w:tr w:rsidR="003D6A92" w:rsidRPr="005E42E5" w14:paraId="778AE2B4" w14:textId="77777777" w:rsidTr="007D351C">
        <w:trPr>
          <w:trHeight w:val="426"/>
        </w:trPr>
        <w:tc>
          <w:tcPr>
            <w:tcW w:w="2520" w:type="dxa"/>
            <w:tcBorders>
              <w:bottom w:val="single" w:sz="8" w:space="0" w:color="auto"/>
            </w:tcBorders>
            <w:shd w:val="clear" w:color="auto" w:fill="FFFFFF"/>
            <w:vAlign w:val="center"/>
          </w:tcPr>
          <w:p w14:paraId="05830029" w14:textId="77777777" w:rsidR="003D6A92" w:rsidRPr="005E42E5" w:rsidRDefault="003D6A92" w:rsidP="00D970C3">
            <w:pPr>
              <w:pStyle w:val="TableParagraph"/>
              <w:ind w:left="27"/>
              <w:rPr>
                <w:rFonts w:ascii="Arial" w:hAnsi="Arial" w:cs="Arial"/>
                <w:sz w:val="18"/>
                <w:szCs w:val="18"/>
              </w:rPr>
            </w:pPr>
          </w:p>
        </w:tc>
        <w:tc>
          <w:tcPr>
            <w:tcW w:w="2565" w:type="dxa"/>
            <w:tcBorders>
              <w:top w:val="single" w:sz="8" w:space="0" w:color="auto"/>
            </w:tcBorders>
            <w:shd w:val="clear" w:color="auto" w:fill="F2F2F2" w:themeFill="background1" w:themeFillShade="F2"/>
            <w:vAlign w:val="center"/>
          </w:tcPr>
          <w:p w14:paraId="0DA9E749" w14:textId="77777777" w:rsidR="003D6A92" w:rsidRPr="005E42E5" w:rsidRDefault="003D6A92" w:rsidP="00D970C3">
            <w:pPr>
              <w:pStyle w:val="TableParagraph"/>
              <w:ind w:left="27"/>
              <w:jc w:val="center"/>
              <w:rPr>
                <w:rFonts w:ascii="Arial" w:hAnsi="Arial" w:cs="Arial"/>
                <w:b/>
                <w:sz w:val="18"/>
                <w:szCs w:val="18"/>
              </w:rPr>
            </w:pPr>
            <w:r w:rsidRPr="005E42E5">
              <w:rPr>
                <w:rFonts w:ascii="Arial" w:hAnsi="Arial" w:cs="Arial"/>
                <w:b/>
                <w:sz w:val="18"/>
                <w:szCs w:val="18"/>
              </w:rPr>
              <w:t>Online</w:t>
            </w:r>
          </w:p>
        </w:tc>
        <w:tc>
          <w:tcPr>
            <w:tcW w:w="2565" w:type="dxa"/>
            <w:tcBorders>
              <w:top w:val="single" w:sz="8" w:space="0" w:color="auto"/>
            </w:tcBorders>
            <w:shd w:val="clear" w:color="auto" w:fill="F2F2F2" w:themeFill="background1" w:themeFillShade="F2"/>
            <w:vAlign w:val="center"/>
          </w:tcPr>
          <w:p w14:paraId="4A1A8C73" w14:textId="77777777" w:rsidR="003D6A92" w:rsidRPr="005E42E5" w:rsidRDefault="003D6A92" w:rsidP="00D970C3">
            <w:pPr>
              <w:pStyle w:val="TableParagraph"/>
              <w:ind w:left="27"/>
              <w:jc w:val="center"/>
              <w:rPr>
                <w:rFonts w:ascii="Arial" w:hAnsi="Arial" w:cs="Arial"/>
                <w:b/>
                <w:sz w:val="18"/>
                <w:szCs w:val="18"/>
              </w:rPr>
            </w:pPr>
            <w:r w:rsidRPr="005E42E5">
              <w:rPr>
                <w:rFonts w:ascii="Arial" w:hAnsi="Arial" w:cs="Arial"/>
                <w:b/>
                <w:sz w:val="18"/>
                <w:szCs w:val="18"/>
              </w:rPr>
              <w:t>By Mail</w:t>
            </w:r>
          </w:p>
        </w:tc>
      </w:tr>
      <w:tr w:rsidR="003D6A92" w:rsidRPr="005E42E5" w14:paraId="39F92227" w14:textId="77777777" w:rsidTr="007D351C">
        <w:trPr>
          <w:trHeight w:val="435"/>
        </w:trPr>
        <w:tc>
          <w:tcPr>
            <w:tcW w:w="2520" w:type="dxa"/>
            <w:tcBorders>
              <w:top w:val="single" w:sz="8" w:space="0" w:color="auto"/>
              <w:left w:val="single" w:sz="8" w:space="0" w:color="auto"/>
            </w:tcBorders>
            <w:shd w:val="clear" w:color="auto" w:fill="FFFFFF"/>
            <w:vAlign w:val="center"/>
          </w:tcPr>
          <w:p w14:paraId="262805CF"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Bank Statements</w:t>
            </w:r>
          </w:p>
        </w:tc>
        <w:tc>
          <w:tcPr>
            <w:tcW w:w="2565" w:type="dxa"/>
            <w:shd w:val="clear" w:color="auto" w:fill="auto"/>
            <w:vAlign w:val="center"/>
          </w:tcPr>
          <w:p w14:paraId="687397C2"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3591EB35" w14:textId="77777777" w:rsidR="003D6A92" w:rsidRPr="005E42E5" w:rsidRDefault="003D6A92" w:rsidP="00D970C3">
            <w:pPr>
              <w:pStyle w:val="TableParagraph"/>
              <w:ind w:left="27"/>
              <w:rPr>
                <w:rFonts w:ascii="Arial" w:hAnsi="Arial" w:cs="Arial"/>
                <w:sz w:val="18"/>
                <w:szCs w:val="18"/>
              </w:rPr>
            </w:pPr>
          </w:p>
        </w:tc>
      </w:tr>
      <w:tr w:rsidR="003D6A92" w:rsidRPr="005E42E5" w14:paraId="0516272F" w14:textId="77777777" w:rsidTr="007D351C">
        <w:trPr>
          <w:trHeight w:val="435"/>
        </w:trPr>
        <w:tc>
          <w:tcPr>
            <w:tcW w:w="2520" w:type="dxa"/>
            <w:tcBorders>
              <w:top w:val="single" w:sz="8" w:space="0" w:color="auto"/>
              <w:left w:val="single" w:sz="8" w:space="0" w:color="auto"/>
            </w:tcBorders>
            <w:shd w:val="clear" w:color="auto" w:fill="FFFFFF"/>
            <w:vAlign w:val="center"/>
            <w:hideMark/>
          </w:tcPr>
          <w:p w14:paraId="259FFA1A"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CD-ROMs</w:t>
            </w:r>
          </w:p>
        </w:tc>
        <w:tc>
          <w:tcPr>
            <w:tcW w:w="2565" w:type="dxa"/>
            <w:shd w:val="clear" w:color="auto" w:fill="auto"/>
            <w:vAlign w:val="center"/>
          </w:tcPr>
          <w:p w14:paraId="054A7950" w14:textId="77777777" w:rsidR="003D6A92" w:rsidRPr="005E42E5" w:rsidRDefault="003D6A92" w:rsidP="00D970C3">
            <w:pPr>
              <w:pStyle w:val="TableParagraph"/>
              <w:ind w:left="27"/>
              <w:jc w:val="center"/>
              <w:rPr>
                <w:rFonts w:ascii="Arial" w:hAnsi="Arial" w:cs="Arial"/>
                <w:sz w:val="18"/>
                <w:szCs w:val="18"/>
              </w:rPr>
            </w:pPr>
            <w:r w:rsidRPr="005E42E5">
              <w:rPr>
                <w:rFonts w:ascii="Arial" w:hAnsi="Arial" w:cs="Arial"/>
                <w:sz w:val="18"/>
                <w:szCs w:val="18"/>
              </w:rPr>
              <w:t>n/a</w:t>
            </w:r>
          </w:p>
        </w:tc>
        <w:tc>
          <w:tcPr>
            <w:tcW w:w="2565" w:type="dxa"/>
            <w:shd w:val="clear" w:color="auto" w:fill="auto"/>
            <w:vAlign w:val="center"/>
          </w:tcPr>
          <w:p w14:paraId="151C9894" w14:textId="77777777" w:rsidR="003D6A92" w:rsidRPr="005E42E5" w:rsidRDefault="003D6A92" w:rsidP="00D970C3">
            <w:pPr>
              <w:pStyle w:val="TableParagraph"/>
              <w:ind w:left="27"/>
              <w:rPr>
                <w:rFonts w:ascii="Arial" w:hAnsi="Arial" w:cs="Arial"/>
                <w:sz w:val="18"/>
                <w:szCs w:val="18"/>
              </w:rPr>
            </w:pPr>
          </w:p>
        </w:tc>
      </w:tr>
      <w:tr w:rsidR="003D6A92" w:rsidRPr="005E42E5" w14:paraId="132356F4" w14:textId="77777777" w:rsidTr="007D351C">
        <w:trPr>
          <w:trHeight w:val="435"/>
        </w:trPr>
        <w:tc>
          <w:tcPr>
            <w:tcW w:w="2520" w:type="dxa"/>
            <w:tcBorders>
              <w:top w:val="single" w:sz="8" w:space="0" w:color="auto"/>
              <w:left w:val="single" w:sz="8" w:space="0" w:color="auto"/>
            </w:tcBorders>
            <w:shd w:val="clear" w:color="auto" w:fill="FFFFFF"/>
            <w:vAlign w:val="center"/>
          </w:tcPr>
          <w:p w14:paraId="3DE9D924"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Partial Reconciliation Information</w:t>
            </w:r>
          </w:p>
        </w:tc>
        <w:tc>
          <w:tcPr>
            <w:tcW w:w="2565" w:type="dxa"/>
            <w:shd w:val="clear" w:color="auto" w:fill="auto"/>
            <w:vAlign w:val="center"/>
          </w:tcPr>
          <w:p w14:paraId="4F3C1437"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4EE06F86" w14:textId="77777777" w:rsidR="003D6A92" w:rsidRPr="005E42E5" w:rsidRDefault="003D6A92" w:rsidP="00D970C3">
            <w:pPr>
              <w:pStyle w:val="TableParagraph"/>
              <w:ind w:left="27"/>
              <w:rPr>
                <w:rFonts w:ascii="Arial" w:hAnsi="Arial" w:cs="Arial"/>
                <w:sz w:val="18"/>
                <w:szCs w:val="18"/>
              </w:rPr>
            </w:pPr>
          </w:p>
        </w:tc>
      </w:tr>
      <w:tr w:rsidR="003D6A92" w:rsidRPr="005E42E5" w14:paraId="4249EAD0" w14:textId="77777777" w:rsidTr="007D351C">
        <w:trPr>
          <w:trHeight w:val="435"/>
        </w:trPr>
        <w:tc>
          <w:tcPr>
            <w:tcW w:w="2520" w:type="dxa"/>
            <w:tcBorders>
              <w:top w:val="single" w:sz="8" w:space="0" w:color="auto"/>
              <w:left w:val="single" w:sz="8" w:space="0" w:color="auto"/>
            </w:tcBorders>
            <w:shd w:val="clear" w:color="auto" w:fill="FFFFFF"/>
            <w:vAlign w:val="center"/>
          </w:tcPr>
          <w:p w14:paraId="4DCB7800"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Full Reconciliation Information</w:t>
            </w:r>
          </w:p>
        </w:tc>
        <w:tc>
          <w:tcPr>
            <w:tcW w:w="2565" w:type="dxa"/>
            <w:shd w:val="clear" w:color="auto" w:fill="auto"/>
            <w:vAlign w:val="center"/>
          </w:tcPr>
          <w:p w14:paraId="11C77C08"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2CEE0531" w14:textId="77777777" w:rsidR="003D6A92" w:rsidRPr="005E42E5" w:rsidRDefault="003D6A92" w:rsidP="00D970C3">
            <w:pPr>
              <w:pStyle w:val="TableParagraph"/>
              <w:ind w:left="27"/>
              <w:rPr>
                <w:rFonts w:ascii="Arial" w:hAnsi="Arial" w:cs="Arial"/>
                <w:sz w:val="18"/>
                <w:szCs w:val="18"/>
              </w:rPr>
            </w:pPr>
          </w:p>
        </w:tc>
      </w:tr>
      <w:tr w:rsidR="003D6A92" w:rsidRPr="005E42E5" w14:paraId="5084EB3F" w14:textId="77777777" w:rsidTr="007D351C">
        <w:trPr>
          <w:trHeight w:val="435"/>
        </w:trPr>
        <w:tc>
          <w:tcPr>
            <w:tcW w:w="2520" w:type="dxa"/>
            <w:tcBorders>
              <w:top w:val="single" w:sz="8" w:space="0" w:color="auto"/>
              <w:left w:val="single" w:sz="8" w:space="0" w:color="auto"/>
            </w:tcBorders>
            <w:shd w:val="clear" w:color="auto" w:fill="FFFFFF"/>
            <w:vAlign w:val="center"/>
            <w:hideMark/>
          </w:tcPr>
          <w:p w14:paraId="28C20861"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Account Analysis Statement</w:t>
            </w:r>
          </w:p>
        </w:tc>
        <w:tc>
          <w:tcPr>
            <w:tcW w:w="2565" w:type="dxa"/>
            <w:shd w:val="clear" w:color="auto" w:fill="auto"/>
            <w:vAlign w:val="center"/>
          </w:tcPr>
          <w:p w14:paraId="36C82A69"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380FC853" w14:textId="77777777" w:rsidR="003D6A92" w:rsidRPr="005E42E5" w:rsidRDefault="003D6A92" w:rsidP="00D970C3">
            <w:pPr>
              <w:pStyle w:val="TableParagraph"/>
              <w:ind w:left="27"/>
              <w:rPr>
                <w:rFonts w:ascii="Arial" w:hAnsi="Arial" w:cs="Arial"/>
                <w:sz w:val="18"/>
                <w:szCs w:val="18"/>
              </w:rPr>
            </w:pPr>
          </w:p>
        </w:tc>
      </w:tr>
    </w:tbl>
    <w:p w14:paraId="1641BA96" w14:textId="77777777" w:rsidR="003D6A92" w:rsidRPr="003D6A92" w:rsidRDefault="003D6A92" w:rsidP="003D6A92">
      <w:pPr>
        <w:rPr>
          <w:sz w:val="20"/>
          <w:szCs w:val="20"/>
        </w:rPr>
      </w:pPr>
    </w:p>
    <w:p w14:paraId="729FD924" w14:textId="77777777" w:rsidR="003D6A92" w:rsidRPr="00453AB9" w:rsidRDefault="003D6A92" w:rsidP="001777FA">
      <w:pPr>
        <w:pStyle w:val="ListParagraph"/>
        <w:numPr>
          <w:ilvl w:val="0"/>
          <w:numId w:val="31"/>
        </w:numPr>
        <w:spacing w:after="160" w:line="259" w:lineRule="auto"/>
        <w:rPr>
          <w:sz w:val="20"/>
          <w:szCs w:val="20"/>
        </w:rPr>
      </w:pPr>
      <w:r w:rsidRPr="00453AB9">
        <w:rPr>
          <w:sz w:val="20"/>
          <w:szCs w:val="20"/>
        </w:rPr>
        <w:t xml:space="preserve">Describe any recent or upcoming major upgrades to your </w:t>
      </w:r>
      <w:r w:rsidR="00FA18EB" w:rsidRPr="00453AB9">
        <w:rPr>
          <w:sz w:val="20"/>
          <w:szCs w:val="20"/>
        </w:rPr>
        <w:t xml:space="preserve">Firm’s </w:t>
      </w:r>
      <w:r w:rsidRPr="00453AB9">
        <w:rPr>
          <w:sz w:val="20"/>
          <w:szCs w:val="20"/>
        </w:rPr>
        <w:t>online reporting system.</w:t>
      </w:r>
    </w:p>
    <w:p w14:paraId="795A334F" w14:textId="77777777" w:rsidR="003D6A92" w:rsidRPr="00453AB9" w:rsidRDefault="003D6A92" w:rsidP="001777FA">
      <w:pPr>
        <w:pStyle w:val="ListParagraph"/>
        <w:numPr>
          <w:ilvl w:val="0"/>
          <w:numId w:val="31"/>
        </w:numPr>
        <w:spacing w:after="160" w:line="259" w:lineRule="auto"/>
        <w:rPr>
          <w:sz w:val="20"/>
          <w:szCs w:val="20"/>
        </w:rPr>
      </w:pPr>
      <w:r w:rsidRPr="00453AB9">
        <w:rPr>
          <w:sz w:val="20"/>
          <w:szCs w:val="20"/>
        </w:rPr>
        <w:t xml:space="preserve">What time is previous day information available? </w:t>
      </w:r>
    </w:p>
    <w:p w14:paraId="146F5A02" w14:textId="77777777" w:rsidR="003D6A92" w:rsidRPr="003D6A92" w:rsidRDefault="003D6A92" w:rsidP="001777FA">
      <w:pPr>
        <w:pStyle w:val="ListParagraph"/>
        <w:numPr>
          <w:ilvl w:val="0"/>
          <w:numId w:val="31"/>
        </w:numPr>
        <w:spacing w:after="160" w:line="259" w:lineRule="auto"/>
        <w:rPr>
          <w:sz w:val="20"/>
          <w:szCs w:val="20"/>
        </w:rPr>
      </w:pPr>
      <w:proofErr w:type="gramStart"/>
      <w:r w:rsidRPr="00453AB9">
        <w:rPr>
          <w:sz w:val="20"/>
          <w:szCs w:val="20"/>
        </w:rPr>
        <w:t>Complete the following table indicating how long each item is available online?</w:t>
      </w:r>
      <w:proofErr w:type="gramEnd"/>
      <w:r w:rsidRPr="00453AB9">
        <w:rPr>
          <w:sz w:val="20"/>
          <w:szCs w:val="20"/>
        </w:rPr>
        <w:t xml:space="preserve"> Differentiate between the standard term and</w:t>
      </w:r>
      <w:r w:rsidRPr="003D6A92">
        <w:rPr>
          <w:sz w:val="20"/>
          <w:szCs w:val="20"/>
        </w:rPr>
        <w:t xml:space="preserve"> the terms available for an additional fee. </w:t>
      </w:r>
      <w:r w:rsidRPr="003D6A92">
        <w:rPr>
          <w:b/>
          <w:i/>
          <w:sz w:val="20"/>
          <w:szCs w:val="20"/>
        </w:rPr>
        <w:t>Please note, this question is asking for how long the items are available, not when they are available.</w:t>
      </w:r>
    </w:p>
    <w:p w14:paraId="0EDCBF65" w14:textId="77777777" w:rsidR="003D6A92" w:rsidRPr="003D6A92" w:rsidRDefault="003D6A92" w:rsidP="003D6A92">
      <w:pPr>
        <w:pStyle w:val="ListParagraph"/>
        <w:rPr>
          <w:sz w:val="20"/>
          <w:szCs w:val="20"/>
        </w:rPr>
      </w:pPr>
    </w:p>
    <w:tbl>
      <w:tblPr>
        <w:tblW w:w="7650" w:type="dxa"/>
        <w:tblInd w:w="144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880"/>
        <w:gridCol w:w="2385"/>
        <w:gridCol w:w="2385"/>
      </w:tblGrid>
      <w:tr w:rsidR="003D6A92" w:rsidRPr="00F13394" w14:paraId="5D48C818" w14:textId="77777777" w:rsidTr="00CF0CF8">
        <w:trPr>
          <w:trHeight w:val="426"/>
        </w:trPr>
        <w:tc>
          <w:tcPr>
            <w:tcW w:w="2880" w:type="dxa"/>
            <w:tcBorders>
              <w:bottom w:val="single" w:sz="8" w:space="0" w:color="auto"/>
            </w:tcBorders>
            <w:shd w:val="clear" w:color="auto" w:fill="FFFFFF"/>
            <w:vAlign w:val="center"/>
          </w:tcPr>
          <w:p w14:paraId="45A72FCD" w14:textId="77777777" w:rsidR="003D6A92" w:rsidRPr="00F13394" w:rsidRDefault="003D6A92" w:rsidP="00D970C3">
            <w:pPr>
              <w:pStyle w:val="TableParagraph"/>
              <w:ind w:left="0"/>
              <w:rPr>
                <w:rFonts w:ascii="Arial" w:hAnsi="Arial" w:cs="Arial"/>
                <w:sz w:val="18"/>
                <w:szCs w:val="18"/>
              </w:rPr>
            </w:pPr>
          </w:p>
        </w:tc>
        <w:tc>
          <w:tcPr>
            <w:tcW w:w="2385" w:type="dxa"/>
            <w:tcBorders>
              <w:top w:val="single" w:sz="8" w:space="0" w:color="auto"/>
            </w:tcBorders>
            <w:shd w:val="clear" w:color="auto" w:fill="F2F2F2" w:themeFill="background1" w:themeFillShade="F2"/>
            <w:vAlign w:val="center"/>
          </w:tcPr>
          <w:p w14:paraId="39E1A876" w14:textId="77777777" w:rsidR="003D6A92" w:rsidRPr="00F13394" w:rsidRDefault="003D6A92" w:rsidP="00D970C3">
            <w:pPr>
              <w:pStyle w:val="TableParagraph"/>
              <w:ind w:left="0"/>
              <w:jc w:val="center"/>
              <w:rPr>
                <w:rFonts w:ascii="Arial" w:hAnsi="Arial" w:cs="Arial"/>
                <w:b/>
                <w:sz w:val="18"/>
                <w:szCs w:val="18"/>
              </w:rPr>
            </w:pPr>
            <w:r w:rsidRPr="00F13394">
              <w:rPr>
                <w:rFonts w:ascii="Arial" w:hAnsi="Arial" w:cs="Arial"/>
                <w:b/>
                <w:sz w:val="18"/>
                <w:szCs w:val="18"/>
              </w:rPr>
              <w:t>Standard Term</w:t>
            </w:r>
          </w:p>
        </w:tc>
        <w:tc>
          <w:tcPr>
            <w:tcW w:w="2385" w:type="dxa"/>
            <w:tcBorders>
              <w:top w:val="single" w:sz="8" w:space="0" w:color="auto"/>
            </w:tcBorders>
            <w:shd w:val="clear" w:color="auto" w:fill="F2F2F2" w:themeFill="background1" w:themeFillShade="F2"/>
            <w:vAlign w:val="center"/>
          </w:tcPr>
          <w:p w14:paraId="21087A4E" w14:textId="77777777" w:rsidR="003D6A92" w:rsidRPr="00F13394" w:rsidRDefault="003D6A92" w:rsidP="00D970C3">
            <w:pPr>
              <w:pStyle w:val="TableParagraph"/>
              <w:ind w:left="0"/>
              <w:jc w:val="center"/>
              <w:rPr>
                <w:rFonts w:ascii="Arial" w:hAnsi="Arial" w:cs="Arial"/>
                <w:b/>
                <w:sz w:val="18"/>
                <w:szCs w:val="18"/>
              </w:rPr>
            </w:pPr>
            <w:r w:rsidRPr="00F13394">
              <w:rPr>
                <w:rFonts w:ascii="Arial" w:hAnsi="Arial" w:cs="Arial"/>
                <w:b/>
                <w:sz w:val="18"/>
                <w:szCs w:val="18"/>
              </w:rPr>
              <w:t>Optional Terms Available</w:t>
            </w:r>
          </w:p>
        </w:tc>
      </w:tr>
      <w:tr w:rsidR="003D6A92" w:rsidRPr="00F13394" w14:paraId="7D24B38B" w14:textId="77777777" w:rsidTr="00CF0CF8">
        <w:trPr>
          <w:trHeight w:val="435"/>
        </w:trPr>
        <w:tc>
          <w:tcPr>
            <w:tcW w:w="2880" w:type="dxa"/>
            <w:tcBorders>
              <w:top w:val="single" w:sz="8" w:space="0" w:color="auto"/>
              <w:left w:val="single" w:sz="8" w:space="0" w:color="auto"/>
            </w:tcBorders>
            <w:shd w:val="clear" w:color="auto" w:fill="FFFFFF"/>
            <w:vAlign w:val="center"/>
          </w:tcPr>
          <w:p w14:paraId="4C311EAE"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Prior / Previous Day Reporting</w:t>
            </w:r>
          </w:p>
        </w:tc>
        <w:tc>
          <w:tcPr>
            <w:tcW w:w="2385" w:type="dxa"/>
            <w:shd w:val="clear" w:color="auto" w:fill="auto"/>
            <w:vAlign w:val="center"/>
          </w:tcPr>
          <w:p w14:paraId="1372CA83"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35CFBA23" w14:textId="77777777" w:rsidR="003D6A92" w:rsidRPr="00F13394" w:rsidRDefault="003D6A92" w:rsidP="00D970C3">
            <w:pPr>
              <w:pStyle w:val="TableParagraph"/>
              <w:ind w:left="0"/>
              <w:rPr>
                <w:rFonts w:ascii="Arial" w:hAnsi="Arial" w:cs="Arial"/>
                <w:sz w:val="18"/>
                <w:szCs w:val="18"/>
              </w:rPr>
            </w:pPr>
          </w:p>
        </w:tc>
      </w:tr>
      <w:tr w:rsidR="003D6A92" w:rsidRPr="00F13394" w14:paraId="6C9476B0" w14:textId="77777777" w:rsidTr="00CF0CF8">
        <w:trPr>
          <w:trHeight w:val="435"/>
        </w:trPr>
        <w:tc>
          <w:tcPr>
            <w:tcW w:w="2880" w:type="dxa"/>
            <w:tcBorders>
              <w:top w:val="single" w:sz="8" w:space="0" w:color="auto"/>
              <w:left w:val="single" w:sz="8" w:space="0" w:color="auto"/>
            </w:tcBorders>
            <w:shd w:val="clear" w:color="auto" w:fill="FFFFFF"/>
            <w:vAlign w:val="center"/>
          </w:tcPr>
          <w:p w14:paraId="0408CBBE"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 xml:space="preserve">Monthly Account Statements </w:t>
            </w:r>
          </w:p>
        </w:tc>
        <w:tc>
          <w:tcPr>
            <w:tcW w:w="2385" w:type="dxa"/>
            <w:shd w:val="clear" w:color="auto" w:fill="auto"/>
            <w:vAlign w:val="center"/>
          </w:tcPr>
          <w:p w14:paraId="607CEF65"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33F8D873" w14:textId="77777777" w:rsidR="003D6A92" w:rsidRPr="00F13394" w:rsidRDefault="003D6A92" w:rsidP="00D970C3">
            <w:pPr>
              <w:pStyle w:val="TableParagraph"/>
              <w:ind w:left="0"/>
              <w:rPr>
                <w:rFonts w:ascii="Arial" w:hAnsi="Arial" w:cs="Arial"/>
                <w:sz w:val="18"/>
                <w:szCs w:val="18"/>
              </w:rPr>
            </w:pPr>
          </w:p>
        </w:tc>
      </w:tr>
      <w:tr w:rsidR="003D6A92" w:rsidRPr="00F13394" w14:paraId="71150FC6" w14:textId="77777777" w:rsidTr="00CF0CF8">
        <w:trPr>
          <w:trHeight w:val="435"/>
        </w:trPr>
        <w:tc>
          <w:tcPr>
            <w:tcW w:w="2880" w:type="dxa"/>
            <w:tcBorders>
              <w:top w:val="single" w:sz="8" w:space="0" w:color="auto"/>
              <w:left w:val="single" w:sz="8" w:space="0" w:color="auto"/>
            </w:tcBorders>
            <w:shd w:val="clear" w:color="auto" w:fill="FFFFFF"/>
            <w:vAlign w:val="center"/>
          </w:tcPr>
          <w:p w14:paraId="169A1FA6"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Images of Disbursement Items</w:t>
            </w:r>
          </w:p>
        </w:tc>
        <w:tc>
          <w:tcPr>
            <w:tcW w:w="2385" w:type="dxa"/>
            <w:shd w:val="clear" w:color="auto" w:fill="auto"/>
            <w:vAlign w:val="center"/>
          </w:tcPr>
          <w:p w14:paraId="31BCD163"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33B991A4" w14:textId="77777777" w:rsidR="003D6A92" w:rsidRPr="00F13394" w:rsidRDefault="003D6A92" w:rsidP="00D970C3">
            <w:pPr>
              <w:pStyle w:val="TableParagraph"/>
              <w:ind w:left="0"/>
              <w:rPr>
                <w:rFonts w:ascii="Arial" w:hAnsi="Arial" w:cs="Arial"/>
                <w:sz w:val="18"/>
                <w:szCs w:val="18"/>
              </w:rPr>
            </w:pPr>
          </w:p>
        </w:tc>
      </w:tr>
    </w:tbl>
    <w:p w14:paraId="500B1EE8" w14:textId="77777777" w:rsidR="003D6A92" w:rsidRPr="003D6A92" w:rsidRDefault="003D6A92" w:rsidP="003D6A92">
      <w:pPr>
        <w:pStyle w:val="ListParagraph"/>
        <w:ind w:left="1440"/>
        <w:rPr>
          <w:sz w:val="20"/>
          <w:szCs w:val="20"/>
        </w:rPr>
      </w:pPr>
    </w:p>
    <w:p w14:paraId="55AD8D69" w14:textId="77777777" w:rsidR="00E72F1E" w:rsidRPr="00096B92" w:rsidRDefault="00096B92" w:rsidP="00096B92">
      <w:pPr>
        <w:pStyle w:val="ListParagraph"/>
        <w:numPr>
          <w:ilvl w:val="0"/>
          <w:numId w:val="31"/>
        </w:numPr>
        <w:spacing w:after="160" w:line="259" w:lineRule="auto"/>
        <w:rPr>
          <w:sz w:val="20"/>
          <w:szCs w:val="20"/>
        </w:rPr>
      </w:pPr>
      <w:r w:rsidRPr="00096B92">
        <w:rPr>
          <w:sz w:val="20"/>
          <w:szCs w:val="20"/>
        </w:rPr>
        <w:t xml:space="preserve">The State is considering using the multi-bank reporting functionality offered by J.P. Morgan. </w:t>
      </w:r>
      <w:r w:rsidR="00453AB9" w:rsidRPr="00096B92">
        <w:rPr>
          <w:sz w:val="20"/>
          <w:szCs w:val="20"/>
        </w:rPr>
        <w:t>Do</w:t>
      </w:r>
      <w:r w:rsidRPr="00096B92">
        <w:rPr>
          <w:sz w:val="20"/>
          <w:szCs w:val="20"/>
        </w:rPr>
        <w:t xml:space="preserve"> you currently provide data feeds of balances and activities to J.P. Morgan or other financial institutions? If not, will you be able to report activity to this multi-bank reporting platform?  </w:t>
      </w:r>
    </w:p>
    <w:p w14:paraId="7E16DAE5" w14:textId="77777777" w:rsidR="003D6A92" w:rsidRPr="00453AB9" w:rsidRDefault="003D6A92" w:rsidP="001777FA">
      <w:pPr>
        <w:pStyle w:val="ListParagraph"/>
        <w:numPr>
          <w:ilvl w:val="0"/>
          <w:numId w:val="31"/>
        </w:numPr>
        <w:spacing w:after="160" w:line="259" w:lineRule="auto"/>
        <w:rPr>
          <w:sz w:val="20"/>
          <w:szCs w:val="20"/>
        </w:rPr>
      </w:pPr>
      <w:r w:rsidRPr="00453AB9">
        <w:rPr>
          <w:sz w:val="20"/>
          <w:szCs w:val="20"/>
        </w:rPr>
        <w:t xml:space="preserve">In what file formats </w:t>
      </w:r>
      <w:proofErr w:type="gramStart"/>
      <w:r w:rsidRPr="00453AB9">
        <w:rPr>
          <w:sz w:val="20"/>
          <w:szCs w:val="20"/>
        </w:rPr>
        <w:t>can transaction data be downloaded</w:t>
      </w:r>
      <w:proofErr w:type="gramEnd"/>
      <w:r w:rsidRPr="00453AB9">
        <w:rPr>
          <w:sz w:val="20"/>
          <w:szCs w:val="20"/>
        </w:rPr>
        <w:t xml:space="preserve">? </w:t>
      </w:r>
      <w:proofErr w:type="gramStart"/>
      <w:r w:rsidRPr="00453AB9">
        <w:rPr>
          <w:sz w:val="20"/>
          <w:szCs w:val="20"/>
        </w:rPr>
        <w:t>Can activity be downloaded</w:t>
      </w:r>
      <w:proofErr w:type="gramEnd"/>
      <w:r w:rsidRPr="00453AB9">
        <w:rPr>
          <w:sz w:val="20"/>
          <w:szCs w:val="20"/>
        </w:rPr>
        <w:t xml:space="preserve"> into Excel?</w:t>
      </w:r>
    </w:p>
    <w:p w14:paraId="4DD876A8"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Wh</w:t>
      </w:r>
      <w:r w:rsidR="00FA18EB">
        <w:rPr>
          <w:sz w:val="20"/>
          <w:szCs w:val="20"/>
        </w:rPr>
        <w:t xml:space="preserve">at technology options would your Firm </w:t>
      </w:r>
      <w:r w:rsidRPr="003D6A92">
        <w:rPr>
          <w:sz w:val="20"/>
          <w:szCs w:val="20"/>
        </w:rPr>
        <w:t xml:space="preserve">recommend </w:t>
      </w:r>
      <w:r w:rsidR="00E72F1E">
        <w:rPr>
          <w:sz w:val="20"/>
          <w:szCs w:val="20"/>
        </w:rPr>
        <w:t>the State agencies</w:t>
      </w:r>
      <w:r w:rsidRPr="003D6A92">
        <w:rPr>
          <w:sz w:val="20"/>
          <w:szCs w:val="20"/>
        </w:rPr>
        <w:t xml:space="preserve"> use for archiving historical check images (i.e. CD-ROM, online retention)?</w:t>
      </w:r>
    </w:p>
    <w:p w14:paraId="044CE16D"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For historical images of disbursement checks that are accessible online, does your Firm charge per image stored or per image accessed? </w:t>
      </w:r>
    </w:p>
    <w:p w14:paraId="1470D6A3" w14:textId="77777777" w:rsidR="003D6A92" w:rsidRPr="003D6A92" w:rsidRDefault="003D6A92" w:rsidP="001777FA">
      <w:pPr>
        <w:pStyle w:val="ListParagraph"/>
        <w:numPr>
          <w:ilvl w:val="0"/>
          <w:numId w:val="31"/>
        </w:numPr>
        <w:spacing w:after="160" w:line="259" w:lineRule="auto"/>
        <w:rPr>
          <w:sz w:val="20"/>
          <w:szCs w:val="20"/>
        </w:rPr>
      </w:pPr>
      <w:proofErr w:type="gramStart"/>
      <w:r w:rsidRPr="003D6A92">
        <w:rPr>
          <w:sz w:val="20"/>
          <w:szCs w:val="20"/>
        </w:rPr>
        <w:t>Can historical images of checks be sent</w:t>
      </w:r>
      <w:proofErr w:type="gramEnd"/>
      <w:r w:rsidRPr="003D6A92">
        <w:rPr>
          <w:sz w:val="20"/>
          <w:szCs w:val="20"/>
        </w:rPr>
        <w:t xml:space="preserve"> by transmission to the State </w:t>
      </w:r>
      <w:r w:rsidR="00E72F1E">
        <w:rPr>
          <w:sz w:val="20"/>
          <w:szCs w:val="20"/>
        </w:rPr>
        <w:t xml:space="preserve">agencies </w:t>
      </w:r>
      <w:r w:rsidRPr="003D6A92">
        <w:rPr>
          <w:sz w:val="20"/>
          <w:szCs w:val="20"/>
        </w:rPr>
        <w:t xml:space="preserve">for archival purposes (i.e. a full fiscal year)? If so, describe. </w:t>
      </w:r>
    </w:p>
    <w:p w14:paraId="47E6DBFE" w14:textId="77777777" w:rsidR="003D6A92" w:rsidRPr="007D3D30" w:rsidRDefault="003D6A92" w:rsidP="007D3D30">
      <w:pPr>
        <w:pStyle w:val="ListParagraph"/>
        <w:numPr>
          <w:ilvl w:val="0"/>
          <w:numId w:val="31"/>
        </w:numPr>
        <w:spacing w:after="160" w:line="259" w:lineRule="auto"/>
        <w:rPr>
          <w:sz w:val="20"/>
          <w:szCs w:val="20"/>
        </w:rPr>
      </w:pPr>
      <w:r w:rsidRPr="003D6A92">
        <w:rPr>
          <w:sz w:val="20"/>
          <w:szCs w:val="20"/>
        </w:rPr>
        <w:t>Describe any mobile applications that you</w:t>
      </w:r>
      <w:r w:rsidR="00FA18EB">
        <w:rPr>
          <w:sz w:val="20"/>
          <w:szCs w:val="20"/>
        </w:rPr>
        <w:t>r Firm</w:t>
      </w:r>
      <w:r w:rsidRPr="003D6A92">
        <w:rPr>
          <w:sz w:val="20"/>
          <w:szCs w:val="20"/>
        </w:rPr>
        <w:t xml:space="preserve"> offer</w:t>
      </w:r>
      <w:r w:rsidR="00FA18EB">
        <w:rPr>
          <w:sz w:val="20"/>
          <w:szCs w:val="20"/>
        </w:rPr>
        <w:t>s</w:t>
      </w:r>
      <w:r w:rsidRPr="003D6A92">
        <w:rPr>
          <w:sz w:val="20"/>
          <w:szCs w:val="20"/>
        </w:rPr>
        <w:t xml:space="preserve"> for smartphones or tablets. What banking services </w:t>
      </w:r>
      <w:proofErr w:type="gramStart"/>
      <w:r w:rsidRPr="003D6A92">
        <w:rPr>
          <w:sz w:val="20"/>
          <w:szCs w:val="20"/>
        </w:rPr>
        <w:t>can be completed</w:t>
      </w:r>
      <w:proofErr w:type="gramEnd"/>
      <w:r w:rsidRPr="003D6A92">
        <w:rPr>
          <w:sz w:val="20"/>
          <w:szCs w:val="20"/>
        </w:rPr>
        <w:t xml:space="preserve"> using these applications? Complete the following table indicating which banking functions </w:t>
      </w:r>
      <w:proofErr w:type="gramStart"/>
      <w:r w:rsidRPr="003D6A92">
        <w:rPr>
          <w:sz w:val="20"/>
          <w:szCs w:val="20"/>
        </w:rPr>
        <w:t>can be completed</w:t>
      </w:r>
      <w:proofErr w:type="gramEnd"/>
      <w:r w:rsidRPr="003D6A92">
        <w:rPr>
          <w:sz w:val="20"/>
          <w:szCs w:val="20"/>
        </w:rPr>
        <w:t xml:space="preserve"> through the mobile applications. </w:t>
      </w:r>
    </w:p>
    <w:tbl>
      <w:tblPr>
        <w:tblW w:w="6451" w:type="dxa"/>
        <w:tblInd w:w="14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4035"/>
        <w:gridCol w:w="2416"/>
      </w:tblGrid>
      <w:tr w:rsidR="003D6A92" w:rsidRPr="00F13394" w14:paraId="7CD195D4" w14:textId="77777777" w:rsidTr="006E0A16">
        <w:trPr>
          <w:trHeight w:val="426"/>
        </w:trPr>
        <w:tc>
          <w:tcPr>
            <w:tcW w:w="4035" w:type="dxa"/>
            <w:tcBorders>
              <w:top w:val="nil"/>
              <w:left w:val="nil"/>
              <w:bottom w:val="single" w:sz="8" w:space="0" w:color="auto"/>
              <w:right w:val="single" w:sz="8" w:space="0" w:color="auto"/>
            </w:tcBorders>
            <w:shd w:val="clear" w:color="auto" w:fill="FFFFFF"/>
            <w:vAlign w:val="center"/>
          </w:tcPr>
          <w:p w14:paraId="7E9282A0"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Banking Function</w:t>
            </w:r>
          </w:p>
        </w:tc>
        <w:tc>
          <w:tcPr>
            <w:tcW w:w="241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5AA2EC8" w14:textId="77777777" w:rsidR="003D6A92" w:rsidRPr="00F13394" w:rsidRDefault="003D6A92" w:rsidP="00D970C3">
            <w:pPr>
              <w:pStyle w:val="TableParagraph"/>
              <w:ind w:left="0"/>
              <w:jc w:val="center"/>
              <w:rPr>
                <w:rFonts w:ascii="Arial" w:hAnsi="Arial" w:cs="Arial"/>
                <w:b/>
                <w:sz w:val="18"/>
                <w:szCs w:val="18"/>
              </w:rPr>
            </w:pPr>
            <w:r w:rsidRPr="00F13394">
              <w:rPr>
                <w:rFonts w:ascii="Arial" w:hAnsi="Arial" w:cs="Arial"/>
                <w:b/>
                <w:sz w:val="18"/>
                <w:szCs w:val="18"/>
              </w:rPr>
              <w:t>Yes / No</w:t>
            </w:r>
          </w:p>
        </w:tc>
      </w:tr>
      <w:tr w:rsidR="003D6A92" w:rsidRPr="00F13394" w14:paraId="38A4E22C"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0F6DEACB"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Decision of positive pay items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06D51C21" w14:textId="77777777" w:rsidR="003D6A92" w:rsidRPr="00F13394" w:rsidRDefault="003D6A92" w:rsidP="00D970C3">
            <w:pPr>
              <w:pStyle w:val="TableParagraph"/>
              <w:ind w:left="0"/>
              <w:rPr>
                <w:rFonts w:ascii="Arial" w:hAnsi="Arial" w:cs="Arial"/>
                <w:sz w:val="18"/>
                <w:szCs w:val="18"/>
              </w:rPr>
            </w:pPr>
          </w:p>
        </w:tc>
      </w:tr>
      <w:tr w:rsidR="003D6A92" w:rsidRPr="00F13394" w14:paraId="4D992824"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28859710"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Reset a user’s password</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28011BED" w14:textId="77777777" w:rsidR="003D6A92" w:rsidRPr="00F13394" w:rsidRDefault="003D6A92" w:rsidP="00D970C3">
            <w:pPr>
              <w:pStyle w:val="TableParagraph"/>
              <w:ind w:left="0"/>
              <w:rPr>
                <w:rFonts w:ascii="Arial" w:hAnsi="Arial" w:cs="Arial"/>
                <w:sz w:val="18"/>
                <w:szCs w:val="18"/>
              </w:rPr>
            </w:pPr>
          </w:p>
        </w:tc>
      </w:tr>
      <w:tr w:rsidR="003D6A92" w:rsidRPr="00F13394" w14:paraId="7C028F4F"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07A5CD24"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Obtain balance reports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7EBB8C4E" w14:textId="77777777" w:rsidR="003D6A92" w:rsidRPr="00F13394" w:rsidRDefault="003D6A92" w:rsidP="00D970C3">
            <w:pPr>
              <w:pStyle w:val="TableParagraph"/>
              <w:ind w:left="0"/>
              <w:rPr>
                <w:rFonts w:ascii="Arial" w:hAnsi="Arial" w:cs="Arial"/>
                <w:sz w:val="18"/>
                <w:szCs w:val="18"/>
              </w:rPr>
            </w:pPr>
          </w:p>
        </w:tc>
      </w:tr>
      <w:tr w:rsidR="003D6A92" w:rsidRPr="00F13394" w14:paraId="07CE41AC" w14:textId="77777777" w:rsidTr="006E0A16">
        <w:trPr>
          <w:trHeight w:val="435"/>
        </w:trPr>
        <w:tc>
          <w:tcPr>
            <w:tcW w:w="4035" w:type="dxa"/>
            <w:tcBorders>
              <w:top w:val="single" w:sz="8" w:space="0" w:color="auto"/>
              <w:left w:val="single" w:sz="8" w:space="0" w:color="auto"/>
              <w:bottom w:val="single" w:sz="4" w:space="0" w:color="auto"/>
              <w:right w:val="single" w:sz="8" w:space="0" w:color="auto"/>
            </w:tcBorders>
            <w:shd w:val="clear" w:color="auto" w:fill="FFFFFF"/>
            <w:vAlign w:val="center"/>
          </w:tcPr>
          <w:p w14:paraId="0940B706"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Deposit an individual check</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12BA1542" w14:textId="77777777" w:rsidR="003D6A92" w:rsidRPr="00F13394" w:rsidRDefault="003D6A92" w:rsidP="00D970C3">
            <w:pPr>
              <w:pStyle w:val="TableParagraph"/>
              <w:ind w:left="0"/>
              <w:rPr>
                <w:rFonts w:ascii="Arial" w:hAnsi="Arial" w:cs="Arial"/>
                <w:sz w:val="18"/>
                <w:szCs w:val="18"/>
              </w:rPr>
            </w:pPr>
          </w:p>
        </w:tc>
      </w:tr>
    </w:tbl>
    <w:p w14:paraId="0EBA1BE9" w14:textId="77777777" w:rsidR="003D6A92" w:rsidRPr="003D6A92" w:rsidRDefault="003D6A92" w:rsidP="003D6A92">
      <w:pPr>
        <w:pStyle w:val="ListParagraph"/>
        <w:rPr>
          <w:sz w:val="20"/>
          <w:szCs w:val="20"/>
        </w:rPr>
      </w:pPr>
    </w:p>
    <w:p w14:paraId="14CD6482" w14:textId="77777777" w:rsidR="003D6A92" w:rsidRDefault="003D6A92" w:rsidP="001777FA">
      <w:pPr>
        <w:pStyle w:val="ListParagraph"/>
        <w:numPr>
          <w:ilvl w:val="0"/>
          <w:numId w:val="31"/>
        </w:numPr>
        <w:spacing w:after="160" w:line="259" w:lineRule="auto"/>
        <w:rPr>
          <w:sz w:val="20"/>
          <w:szCs w:val="20"/>
        </w:rPr>
      </w:pPr>
      <w:r w:rsidRPr="003D6A92">
        <w:rPr>
          <w:sz w:val="20"/>
          <w:szCs w:val="20"/>
        </w:rPr>
        <w:t>What dual authentication protocols are available and do</w:t>
      </w:r>
      <w:r w:rsidR="00FA18EB">
        <w:rPr>
          <w:sz w:val="20"/>
          <w:szCs w:val="20"/>
        </w:rPr>
        <w:t>es</w:t>
      </w:r>
      <w:r w:rsidRPr="003D6A92">
        <w:rPr>
          <w:sz w:val="20"/>
          <w:szCs w:val="20"/>
        </w:rPr>
        <w:t xml:space="preserve"> you</w:t>
      </w:r>
      <w:r w:rsidR="00FA18EB">
        <w:rPr>
          <w:sz w:val="20"/>
          <w:szCs w:val="20"/>
        </w:rPr>
        <w:t>r Firm</w:t>
      </w:r>
      <w:r w:rsidRPr="003D6A92">
        <w:rPr>
          <w:sz w:val="20"/>
          <w:szCs w:val="20"/>
        </w:rPr>
        <w:t xml:space="preserve"> use (i.e. tokens,</w:t>
      </w:r>
      <w:r w:rsidR="00BA22F1">
        <w:rPr>
          <w:sz w:val="20"/>
          <w:szCs w:val="20"/>
        </w:rPr>
        <w:t xml:space="preserve"> mobile tokens,</w:t>
      </w:r>
      <w:r w:rsidRPr="003D6A92">
        <w:rPr>
          <w:sz w:val="20"/>
          <w:szCs w:val="20"/>
        </w:rPr>
        <w:t xml:space="preserve"> etc.)?</w:t>
      </w:r>
    </w:p>
    <w:p w14:paraId="26957ECF" w14:textId="77777777" w:rsidR="00E35071" w:rsidRPr="00453AB9" w:rsidRDefault="00E35071" w:rsidP="001777FA">
      <w:pPr>
        <w:pStyle w:val="ListParagraph"/>
        <w:numPr>
          <w:ilvl w:val="0"/>
          <w:numId w:val="31"/>
        </w:numPr>
        <w:spacing w:after="160" w:line="259" w:lineRule="auto"/>
        <w:rPr>
          <w:sz w:val="20"/>
          <w:szCs w:val="20"/>
        </w:rPr>
      </w:pPr>
      <w:r w:rsidRPr="00453AB9">
        <w:rPr>
          <w:sz w:val="20"/>
          <w:szCs w:val="20"/>
        </w:rPr>
        <w:t xml:space="preserve">Does the Firm’s online reporting system offer the ability to set and send e-mail alerts? </w:t>
      </w:r>
    </w:p>
    <w:p w14:paraId="502E8BC9" w14:textId="77777777" w:rsidR="00E35071" w:rsidRPr="00453AB9" w:rsidRDefault="00E35071" w:rsidP="001777FA">
      <w:pPr>
        <w:pStyle w:val="ListParagraph"/>
        <w:numPr>
          <w:ilvl w:val="0"/>
          <w:numId w:val="31"/>
        </w:numPr>
        <w:spacing w:after="160" w:line="259" w:lineRule="auto"/>
        <w:rPr>
          <w:sz w:val="20"/>
          <w:szCs w:val="20"/>
        </w:rPr>
      </w:pPr>
      <w:proofErr w:type="gramStart"/>
      <w:r w:rsidRPr="00453AB9">
        <w:rPr>
          <w:sz w:val="20"/>
          <w:szCs w:val="20"/>
        </w:rPr>
        <w:t>Can electronic reports be scheduled to be generated automatically and</w:t>
      </w:r>
      <w:proofErr w:type="gramEnd"/>
      <w:r w:rsidRPr="00453AB9">
        <w:rPr>
          <w:sz w:val="20"/>
          <w:szCs w:val="20"/>
        </w:rPr>
        <w:t xml:space="preserve"> e-mailed to designated users?</w:t>
      </w:r>
    </w:p>
    <w:p w14:paraId="24B58DE4"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Reconciliation Services</w:t>
      </w:r>
    </w:p>
    <w:p w14:paraId="64111E92" w14:textId="77777777" w:rsidR="003D6A92" w:rsidRPr="003D6A92" w:rsidRDefault="003D6A92" w:rsidP="001777FA">
      <w:pPr>
        <w:pStyle w:val="ListParagraph"/>
        <w:numPr>
          <w:ilvl w:val="0"/>
          <w:numId w:val="32"/>
        </w:numPr>
        <w:spacing w:after="160" w:line="259" w:lineRule="auto"/>
        <w:rPr>
          <w:sz w:val="20"/>
          <w:szCs w:val="20"/>
        </w:rPr>
      </w:pPr>
      <w:r w:rsidRPr="003D6A92">
        <w:rPr>
          <w:sz w:val="20"/>
          <w:szCs w:val="20"/>
        </w:rPr>
        <w:t xml:space="preserve">Does the </w:t>
      </w:r>
      <w:r w:rsidR="00EF37A8">
        <w:rPr>
          <w:sz w:val="20"/>
          <w:szCs w:val="20"/>
        </w:rPr>
        <w:t>F</w:t>
      </w:r>
      <w:r w:rsidRPr="003D6A92">
        <w:rPr>
          <w:sz w:val="20"/>
          <w:szCs w:val="20"/>
        </w:rPr>
        <w:t>irm offer full Account Reconciliation Program (</w:t>
      </w:r>
      <w:r w:rsidR="009A49E3">
        <w:rPr>
          <w:sz w:val="20"/>
          <w:szCs w:val="20"/>
        </w:rPr>
        <w:t>“</w:t>
      </w:r>
      <w:r w:rsidRPr="003D6A92">
        <w:rPr>
          <w:sz w:val="20"/>
          <w:szCs w:val="20"/>
        </w:rPr>
        <w:t>ARP</w:t>
      </w:r>
      <w:r w:rsidR="009A49E3">
        <w:rPr>
          <w:sz w:val="20"/>
          <w:szCs w:val="20"/>
        </w:rPr>
        <w:t>”</w:t>
      </w:r>
      <w:r w:rsidRPr="003D6A92">
        <w:rPr>
          <w:sz w:val="20"/>
          <w:szCs w:val="20"/>
        </w:rPr>
        <w:t>) services?</w:t>
      </w:r>
    </w:p>
    <w:p w14:paraId="7FCEB076" w14:textId="77777777" w:rsidR="003D6A92" w:rsidRDefault="003D6A92" w:rsidP="001777FA">
      <w:pPr>
        <w:pStyle w:val="ListParagraph"/>
        <w:numPr>
          <w:ilvl w:val="0"/>
          <w:numId w:val="32"/>
        </w:numPr>
        <w:spacing w:after="160" w:line="259" w:lineRule="auto"/>
        <w:rPr>
          <w:sz w:val="20"/>
          <w:szCs w:val="20"/>
        </w:rPr>
      </w:pPr>
      <w:r w:rsidRPr="003D6A92">
        <w:rPr>
          <w:sz w:val="20"/>
          <w:szCs w:val="20"/>
        </w:rPr>
        <w:t xml:space="preserve">Describe how reconciliation data </w:t>
      </w:r>
      <w:proofErr w:type="gramStart"/>
      <w:r w:rsidRPr="003D6A92">
        <w:rPr>
          <w:sz w:val="20"/>
          <w:szCs w:val="20"/>
        </w:rPr>
        <w:t>would be transmitted</w:t>
      </w:r>
      <w:proofErr w:type="gramEnd"/>
      <w:r w:rsidRPr="003D6A92">
        <w:rPr>
          <w:sz w:val="20"/>
          <w:szCs w:val="20"/>
        </w:rPr>
        <w:t xml:space="preserve"> to the State</w:t>
      </w:r>
      <w:r w:rsidR="00F35713">
        <w:rPr>
          <w:sz w:val="20"/>
          <w:szCs w:val="20"/>
        </w:rPr>
        <w:t xml:space="preserve"> agencies</w:t>
      </w:r>
      <w:r w:rsidRPr="003D6A92">
        <w:rPr>
          <w:sz w:val="20"/>
          <w:szCs w:val="20"/>
        </w:rPr>
        <w:t>? What data elements are available?</w:t>
      </w:r>
    </w:p>
    <w:p w14:paraId="37548E83" w14:textId="77777777" w:rsidR="00255130" w:rsidRPr="003D6A92" w:rsidRDefault="00255130" w:rsidP="001777FA">
      <w:pPr>
        <w:pStyle w:val="ListParagraph"/>
        <w:numPr>
          <w:ilvl w:val="0"/>
          <w:numId w:val="18"/>
        </w:numPr>
        <w:tabs>
          <w:tab w:val="left" w:pos="1080"/>
        </w:tabs>
        <w:spacing w:after="160" w:line="259" w:lineRule="auto"/>
        <w:rPr>
          <w:sz w:val="20"/>
          <w:szCs w:val="20"/>
        </w:rPr>
      </w:pPr>
      <w:r w:rsidRPr="003D6A92">
        <w:rPr>
          <w:sz w:val="20"/>
          <w:szCs w:val="20"/>
        </w:rPr>
        <w:t>Account Analysis Statements</w:t>
      </w:r>
    </w:p>
    <w:p w14:paraId="41EC03F1" w14:textId="77777777" w:rsidR="00255130" w:rsidRDefault="00255130" w:rsidP="001777FA">
      <w:pPr>
        <w:pStyle w:val="ListParagraph"/>
        <w:numPr>
          <w:ilvl w:val="0"/>
          <w:numId w:val="35"/>
        </w:numPr>
        <w:spacing w:after="160" w:line="259" w:lineRule="auto"/>
        <w:rPr>
          <w:sz w:val="20"/>
          <w:szCs w:val="20"/>
        </w:rPr>
      </w:pPr>
      <w:r w:rsidRPr="003D6A92">
        <w:rPr>
          <w:sz w:val="20"/>
          <w:szCs w:val="20"/>
        </w:rPr>
        <w:t xml:space="preserve">Provide a sample analysis statement. How soon after </w:t>
      </w:r>
      <w:proofErr w:type="gramStart"/>
      <w:r w:rsidRPr="003D6A92">
        <w:rPr>
          <w:sz w:val="20"/>
          <w:szCs w:val="20"/>
        </w:rPr>
        <w:t>month-end</w:t>
      </w:r>
      <w:proofErr w:type="gramEnd"/>
      <w:r w:rsidRPr="003D6A92">
        <w:rPr>
          <w:sz w:val="20"/>
          <w:szCs w:val="20"/>
        </w:rPr>
        <w:t xml:space="preserve"> is the analysis statement available? </w:t>
      </w:r>
    </w:p>
    <w:p w14:paraId="166011EA" w14:textId="77777777" w:rsidR="00D73B9F" w:rsidRPr="003D6A92" w:rsidRDefault="00D73B9F" w:rsidP="001777FA">
      <w:pPr>
        <w:pStyle w:val="ListParagraph"/>
        <w:numPr>
          <w:ilvl w:val="0"/>
          <w:numId w:val="35"/>
        </w:numPr>
        <w:spacing w:after="160" w:line="259" w:lineRule="auto"/>
        <w:rPr>
          <w:sz w:val="20"/>
          <w:szCs w:val="20"/>
        </w:rPr>
      </w:pPr>
      <w:r>
        <w:rPr>
          <w:sz w:val="20"/>
          <w:szCs w:val="20"/>
        </w:rPr>
        <w:t>Can account analysis statements be “grouped” and invoiced by individual State agencies versus simply one consolidated account analysis statement for all State accounts?</w:t>
      </w:r>
    </w:p>
    <w:p w14:paraId="7E9BFDEB" w14:textId="77777777" w:rsidR="00255130" w:rsidRPr="003D6A92" w:rsidRDefault="00255130" w:rsidP="001777FA">
      <w:pPr>
        <w:pStyle w:val="ListParagraph"/>
        <w:numPr>
          <w:ilvl w:val="0"/>
          <w:numId w:val="35"/>
        </w:numPr>
        <w:spacing w:after="160" w:line="259" w:lineRule="auto"/>
        <w:rPr>
          <w:sz w:val="20"/>
          <w:szCs w:val="20"/>
        </w:rPr>
      </w:pPr>
      <w:r w:rsidRPr="003D6A92">
        <w:rPr>
          <w:sz w:val="20"/>
          <w:szCs w:val="20"/>
        </w:rPr>
        <w:t>Can Association for Financial Professionals (</w:t>
      </w:r>
      <w:r w:rsidR="009A49E3">
        <w:rPr>
          <w:sz w:val="20"/>
          <w:szCs w:val="20"/>
        </w:rPr>
        <w:t>“</w:t>
      </w:r>
      <w:r w:rsidRPr="003D6A92">
        <w:rPr>
          <w:sz w:val="20"/>
          <w:szCs w:val="20"/>
        </w:rPr>
        <w:t>AFP</w:t>
      </w:r>
      <w:r w:rsidR="009A49E3">
        <w:rPr>
          <w:sz w:val="20"/>
          <w:szCs w:val="20"/>
        </w:rPr>
        <w:t>”</w:t>
      </w:r>
      <w:r w:rsidRPr="003D6A92">
        <w:rPr>
          <w:sz w:val="20"/>
          <w:szCs w:val="20"/>
        </w:rPr>
        <w:t>) Service Codes be included on the analysis statement? If not, do</w:t>
      </w:r>
      <w:r w:rsidR="00FA18EB">
        <w:rPr>
          <w:sz w:val="20"/>
          <w:szCs w:val="20"/>
        </w:rPr>
        <w:t>es</w:t>
      </w:r>
      <w:r w:rsidRPr="003D6A92">
        <w:rPr>
          <w:sz w:val="20"/>
          <w:szCs w:val="20"/>
        </w:rPr>
        <w:t xml:space="preserve"> you</w:t>
      </w:r>
      <w:r w:rsidR="00FA18EB">
        <w:rPr>
          <w:sz w:val="20"/>
          <w:szCs w:val="20"/>
        </w:rPr>
        <w:t>r Firm</w:t>
      </w:r>
      <w:r w:rsidRPr="003D6A92">
        <w:rPr>
          <w:sz w:val="20"/>
          <w:szCs w:val="20"/>
        </w:rPr>
        <w:t xml:space="preserve"> offer another report that provides this information?</w:t>
      </w:r>
    </w:p>
    <w:p w14:paraId="41691E40" w14:textId="77777777" w:rsidR="00255130" w:rsidRPr="003D6A92" w:rsidRDefault="00255130" w:rsidP="001777FA">
      <w:pPr>
        <w:pStyle w:val="ListParagraph"/>
        <w:numPr>
          <w:ilvl w:val="0"/>
          <w:numId w:val="35"/>
        </w:numPr>
        <w:spacing w:after="160" w:line="259" w:lineRule="auto"/>
        <w:rPr>
          <w:sz w:val="20"/>
          <w:szCs w:val="20"/>
        </w:rPr>
      </w:pPr>
      <w:r w:rsidRPr="003D6A92">
        <w:rPr>
          <w:sz w:val="20"/>
          <w:szCs w:val="20"/>
        </w:rPr>
        <w:t xml:space="preserve">Are account analysis statements available online? How many prior months are available? </w:t>
      </w:r>
      <w:proofErr w:type="gramStart"/>
      <w:r w:rsidRPr="003D6A92">
        <w:rPr>
          <w:sz w:val="20"/>
          <w:szCs w:val="20"/>
        </w:rPr>
        <w:t>Can the account analysis details be downloaded</w:t>
      </w:r>
      <w:proofErr w:type="gramEnd"/>
      <w:r w:rsidRPr="003D6A92">
        <w:rPr>
          <w:sz w:val="20"/>
          <w:szCs w:val="20"/>
        </w:rPr>
        <w:t xml:space="preserve"> into Microsoft Excel?</w:t>
      </w:r>
    </w:p>
    <w:p w14:paraId="78BA5D15" w14:textId="77777777" w:rsidR="00255130" w:rsidRPr="003D6A92" w:rsidRDefault="00255130" w:rsidP="001777FA">
      <w:pPr>
        <w:pStyle w:val="ListParagraph"/>
        <w:numPr>
          <w:ilvl w:val="0"/>
          <w:numId w:val="35"/>
        </w:numPr>
        <w:spacing w:after="160" w:line="259" w:lineRule="auto"/>
        <w:rPr>
          <w:sz w:val="20"/>
          <w:szCs w:val="20"/>
        </w:rPr>
      </w:pPr>
      <w:r w:rsidRPr="003D6A92">
        <w:rPr>
          <w:sz w:val="20"/>
          <w:szCs w:val="20"/>
        </w:rPr>
        <w:t>Is the Firm able to send analysis statements in an 822 file?</w:t>
      </w:r>
    </w:p>
    <w:p w14:paraId="2091D4AF"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Earnings Credit Rates</w:t>
      </w:r>
      <w:r w:rsidR="006E0A16">
        <w:rPr>
          <w:sz w:val="20"/>
          <w:szCs w:val="20"/>
        </w:rPr>
        <w:t xml:space="preserve"> (“ECR”)</w:t>
      </w:r>
    </w:p>
    <w:p w14:paraId="15990057" w14:textId="77777777" w:rsidR="003D6A92" w:rsidRPr="003D6A92" w:rsidRDefault="00E62D6D" w:rsidP="001777FA">
      <w:pPr>
        <w:pStyle w:val="ListParagraph"/>
        <w:numPr>
          <w:ilvl w:val="0"/>
          <w:numId w:val="34"/>
        </w:numPr>
        <w:spacing w:after="160" w:line="259" w:lineRule="auto"/>
        <w:rPr>
          <w:sz w:val="20"/>
          <w:szCs w:val="20"/>
        </w:rPr>
      </w:pPr>
      <w:r>
        <w:rPr>
          <w:sz w:val="20"/>
          <w:szCs w:val="20"/>
        </w:rPr>
        <w:t>Does the State</w:t>
      </w:r>
      <w:r w:rsidR="003D6A92" w:rsidRPr="003D6A92">
        <w:rPr>
          <w:sz w:val="20"/>
          <w:szCs w:val="20"/>
        </w:rPr>
        <w:t xml:space="preserve"> have the choice of paying the Firm by either “hard dollar</w:t>
      </w:r>
      <w:r w:rsidR="00DC5256">
        <w:rPr>
          <w:sz w:val="20"/>
          <w:szCs w:val="20"/>
        </w:rPr>
        <w:t>s</w:t>
      </w:r>
      <w:r w:rsidR="00897DFB">
        <w:rPr>
          <w:sz w:val="20"/>
          <w:szCs w:val="20"/>
        </w:rPr>
        <w:t>” or “soft dollars”</w:t>
      </w:r>
      <w:r w:rsidR="003D6A92" w:rsidRPr="003D6A92">
        <w:rPr>
          <w:sz w:val="20"/>
          <w:szCs w:val="20"/>
        </w:rPr>
        <w:t xml:space="preserve">? Is the pricing the same for either option? If not, what is the difference? </w:t>
      </w:r>
    </w:p>
    <w:p w14:paraId="29AEB704"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How</w:t>
      </w:r>
      <w:r w:rsidR="007E34B4">
        <w:rPr>
          <w:sz w:val="20"/>
          <w:szCs w:val="20"/>
        </w:rPr>
        <w:t xml:space="preserve"> does the Firm determine, adjust, and apply the ECR</w:t>
      </w:r>
      <w:r w:rsidRPr="003D6A92">
        <w:rPr>
          <w:sz w:val="20"/>
          <w:szCs w:val="20"/>
        </w:rPr>
        <w:t xml:space="preserve">? </w:t>
      </w:r>
    </w:p>
    <w:p w14:paraId="2EAFCAC7" w14:textId="77777777" w:rsidR="003D6A92" w:rsidRPr="003D6A92" w:rsidRDefault="00692EDF" w:rsidP="001777FA">
      <w:pPr>
        <w:pStyle w:val="ListParagraph"/>
        <w:numPr>
          <w:ilvl w:val="0"/>
          <w:numId w:val="34"/>
        </w:numPr>
        <w:spacing w:after="160" w:line="259" w:lineRule="auto"/>
        <w:rPr>
          <w:sz w:val="20"/>
          <w:szCs w:val="20"/>
        </w:rPr>
      </w:pPr>
      <w:r>
        <w:rPr>
          <w:sz w:val="20"/>
          <w:szCs w:val="20"/>
        </w:rPr>
        <w:t xml:space="preserve">Is the Firm </w:t>
      </w:r>
      <w:r w:rsidR="003D6A92" w:rsidRPr="003D6A92">
        <w:rPr>
          <w:sz w:val="20"/>
          <w:szCs w:val="20"/>
        </w:rPr>
        <w:t xml:space="preserve">willing to link the </w:t>
      </w:r>
      <w:r w:rsidR="000626EE">
        <w:rPr>
          <w:sz w:val="20"/>
          <w:szCs w:val="20"/>
        </w:rPr>
        <w:t>ECR</w:t>
      </w:r>
      <w:r w:rsidR="003D6A92" w:rsidRPr="003D6A92">
        <w:rPr>
          <w:sz w:val="20"/>
          <w:szCs w:val="20"/>
        </w:rPr>
        <w:t xml:space="preserve"> to a market ind</w:t>
      </w:r>
      <w:r w:rsidR="00115472">
        <w:rPr>
          <w:sz w:val="20"/>
          <w:szCs w:val="20"/>
        </w:rPr>
        <w:t xml:space="preserve">ex? If so, which index </w:t>
      </w:r>
      <w:proofErr w:type="gramStart"/>
      <w:r w:rsidR="00115472">
        <w:rPr>
          <w:sz w:val="20"/>
          <w:szCs w:val="20"/>
        </w:rPr>
        <w:t>is</w:t>
      </w:r>
      <w:r w:rsidR="003D6A92" w:rsidRPr="003D6A92">
        <w:rPr>
          <w:sz w:val="20"/>
          <w:szCs w:val="20"/>
        </w:rPr>
        <w:t xml:space="preserve"> suggest</w:t>
      </w:r>
      <w:r w:rsidR="00115472">
        <w:rPr>
          <w:sz w:val="20"/>
          <w:szCs w:val="20"/>
        </w:rPr>
        <w:t>ed</w:t>
      </w:r>
      <w:proofErr w:type="gramEnd"/>
      <w:r w:rsidR="003D6A92" w:rsidRPr="003D6A92">
        <w:rPr>
          <w:sz w:val="20"/>
          <w:szCs w:val="20"/>
        </w:rPr>
        <w:t>?</w:t>
      </w:r>
    </w:p>
    <w:p w14:paraId="29030238"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 xml:space="preserve">Does a reserve requirement apply on balances? </w:t>
      </w:r>
    </w:p>
    <w:p w14:paraId="7378F495"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W</w:t>
      </w:r>
      <w:r w:rsidR="00625843">
        <w:rPr>
          <w:sz w:val="20"/>
          <w:szCs w:val="20"/>
        </w:rPr>
        <w:t>ill the Firm assess any balance-</w:t>
      </w:r>
      <w:r w:rsidRPr="003D6A92">
        <w:rPr>
          <w:sz w:val="20"/>
          <w:szCs w:val="20"/>
        </w:rPr>
        <w:t>b</w:t>
      </w:r>
      <w:r w:rsidR="00C20AB4">
        <w:rPr>
          <w:sz w:val="20"/>
          <w:szCs w:val="20"/>
        </w:rPr>
        <w:t>ased charges</w:t>
      </w:r>
      <w:r w:rsidRPr="003D6A92">
        <w:rPr>
          <w:sz w:val="20"/>
          <w:szCs w:val="20"/>
        </w:rPr>
        <w:t xml:space="preserve"> to the State?</w:t>
      </w:r>
      <w:r w:rsidR="00A9652C">
        <w:rPr>
          <w:sz w:val="20"/>
          <w:szCs w:val="20"/>
        </w:rPr>
        <w:t xml:space="preserve"> If so,</w:t>
      </w:r>
    </w:p>
    <w:p w14:paraId="024BFAF5" w14:textId="77777777" w:rsidR="00A9652C" w:rsidRDefault="00A9652C" w:rsidP="001777FA">
      <w:pPr>
        <w:pStyle w:val="ListParagraph"/>
        <w:numPr>
          <w:ilvl w:val="1"/>
          <w:numId w:val="34"/>
        </w:numPr>
        <w:spacing w:after="160" w:line="259" w:lineRule="auto"/>
        <w:rPr>
          <w:sz w:val="20"/>
          <w:szCs w:val="20"/>
        </w:rPr>
      </w:pPr>
      <w:r>
        <w:rPr>
          <w:sz w:val="20"/>
          <w:szCs w:val="20"/>
        </w:rPr>
        <w:t>What is the c</w:t>
      </w:r>
      <w:r w:rsidR="003D6A92" w:rsidRPr="003D6A92">
        <w:rPr>
          <w:sz w:val="20"/>
          <w:szCs w:val="20"/>
        </w:rPr>
        <w:t xml:space="preserve">harge for an entire year on a $1,000,000 balance? </w:t>
      </w:r>
    </w:p>
    <w:p w14:paraId="37E7422D" w14:textId="77777777" w:rsidR="003D6A92" w:rsidRPr="003D6A92" w:rsidRDefault="00A9652C" w:rsidP="001777FA">
      <w:pPr>
        <w:pStyle w:val="ListParagraph"/>
        <w:numPr>
          <w:ilvl w:val="1"/>
          <w:numId w:val="34"/>
        </w:numPr>
        <w:spacing w:after="160" w:line="259" w:lineRule="auto"/>
        <w:rPr>
          <w:sz w:val="20"/>
          <w:szCs w:val="20"/>
        </w:rPr>
      </w:pPr>
      <w:r>
        <w:rPr>
          <w:sz w:val="20"/>
          <w:szCs w:val="20"/>
        </w:rPr>
        <w:t>Are these</w:t>
      </w:r>
      <w:r w:rsidR="003D6A92" w:rsidRPr="003D6A92">
        <w:rPr>
          <w:sz w:val="20"/>
          <w:szCs w:val="20"/>
        </w:rPr>
        <w:t xml:space="preserve"> charge</w:t>
      </w:r>
      <w:r>
        <w:rPr>
          <w:sz w:val="20"/>
          <w:szCs w:val="20"/>
        </w:rPr>
        <w:t>s</w:t>
      </w:r>
      <w:r w:rsidR="003D6A92" w:rsidRPr="003D6A92">
        <w:rPr>
          <w:sz w:val="20"/>
          <w:szCs w:val="20"/>
        </w:rPr>
        <w:t xml:space="preserve"> assessed on ledger or collected balances?</w:t>
      </w:r>
    </w:p>
    <w:p w14:paraId="3DE28288" w14:textId="77777777" w:rsidR="003D6A92" w:rsidRPr="00457643" w:rsidRDefault="003D6A92" w:rsidP="001777FA">
      <w:pPr>
        <w:pStyle w:val="ListParagraph"/>
        <w:numPr>
          <w:ilvl w:val="0"/>
          <w:numId w:val="34"/>
        </w:numPr>
        <w:spacing w:after="160" w:line="259" w:lineRule="auto"/>
        <w:rPr>
          <w:sz w:val="20"/>
          <w:szCs w:val="20"/>
        </w:rPr>
      </w:pPr>
      <w:r w:rsidRPr="00457643">
        <w:rPr>
          <w:sz w:val="20"/>
          <w:szCs w:val="20"/>
        </w:rPr>
        <w:t xml:space="preserve">Provide the </w:t>
      </w:r>
      <w:proofErr w:type="gramStart"/>
      <w:r w:rsidRPr="00457643">
        <w:rPr>
          <w:sz w:val="20"/>
          <w:szCs w:val="20"/>
        </w:rPr>
        <w:t>earnings credit rate history</w:t>
      </w:r>
      <w:proofErr w:type="gramEnd"/>
      <w:r w:rsidRPr="00457643">
        <w:rPr>
          <w:sz w:val="20"/>
          <w:szCs w:val="20"/>
        </w:rPr>
        <w:t xml:space="preserve"> for the </w:t>
      </w:r>
      <w:r w:rsidR="005406DB" w:rsidRPr="00457643">
        <w:rPr>
          <w:sz w:val="20"/>
          <w:szCs w:val="20"/>
        </w:rPr>
        <w:t>5-year</w:t>
      </w:r>
      <w:r w:rsidRPr="00457643">
        <w:rPr>
          <w:sz w:val="20"/>
          <w:szCs w:val="20"/>
        </w:rPr>
        <w:t xml:space="preserve"> period from </w:t>
      </w:r>
      <w:r w:rsidR="0075154B">
        <w:rPr>
          <w:sz w:val="20"/>
          <w:szCs w:val="20"/>
        </w:rPr>
        <w:t>January</w:t>
      </w:r>
      <w:r w:rsidR="005406DB" w:rsidRPr="00457643">
        <w:rPr>
          <w:sz w:val="20"/>
          <w:szCs w:val="20"/>
        </w:rPr>
        <w:t xml:space="preserve"> 201</w:t>
      </w:r>
      <w:r w:rsidR="0075154B">
        <w:rPr>
          <w:sz w:val="20"/>
          <w:szCs w:val="20"/>
        </w:rPr>
        <w:t>4</w:t>
      </w:r>
      <w:r w:rsidRPr="00457643">
        <w:rPr>
          <w:sz w:val="20"/>
          <w:szCs w:val="20"/>
        </w:rPr>
        <w:t xml:space="preserve"> through </w:t>
      </w:r>
      <w:r w:rsidR="0075154B">
        <w:rPr>
          <w:sz w:val="20"/>
          <w:szCs w:val="20"/>
        </w:rPr>
        <w:t>December</w:t>
      </w:r>
      <w:r w:rsidRPr="00457643">
        <w:rPr>
          <w:sz w:val="20"/>
          <w:szCs w:val="20"/>
        </w:rPr>
        <w:t xml:space="preserve"> 2018. Please indicate the earnings credit rate for each month.</w:t>
      </w:r>
    </w:p>
    <w:p w14:paraId="35B65F24" w14:textId="77777777" w:rsidR="003D6A92" w:rsidRPr="003D6A92" w:rsidRDefault="003D6A92" w:rsidP="001777FA">
      <w:pPr>
        <w:pStyle w:val="ListParagraph"/>
        <w:numPr>
          <w:ilvl w:val="0"/>
          <w:numId w:val="34"/>
        </w:numPr>
        <w:spacing w:after="160" w:line="259" w:lineRule="auto"/>
        <w:rPr>
          <w:rStyle w:val="CommentReference"/>
          <w:sz w:val="20"/>
          <w:szCs w:val="20"/>
        </w:rPr>
      </w:pPr>
      <w:r w:rsidRPr="003D6A92">
        <w:rPr>
          <w:sz w:val="20"/>
          <w:szCs w:val="20"/>
        </w:rPr>
        <w:t xml:space="preserve">What is the Firm’s current </w:t>
      </w:r>
      <w:r w:rsidR="006E0A16">
        <w:rPr>
          <w:sz w:val="20"/>
          <w:szCs w:val="20"/>
        </w:rPr>
        <w:t>ECR</w:t>
      </w:r>
      <w:r w:rsidRPr="003D6A92">
        <w:rPr>
          <w:sz w:val="20"/>
          <w:szCs w:val="20"/>
        </w:rPr>
        <w:t xml:space="preserve">? What is the </w:t>
      </w:r>
      <w:r w:rsidR="006E0A16">
        <w:rPr>
          <w:sz w:val="20"/>
          <w:szCs w:val="20"/>
        </w:rPr>
        <w:t>ECR</w:t>
      </w:r>
      <w:r w:rsidRPr="003D6A92">
        <w:rPr>
          <w:sz w:val="20"/>
          <w:szCs w:val="20"/>
        </w:rPr>
        <w:t xml:space="preserve"> you are offering to the State?</w:t>
      </w:r>
    </w:p>
    <w:p w14:paraId="306CC9B6"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If the proposed earnings credit rate is higher than bank’s standard ECR, do</w:t>
      </w:r>
      <w:r w:rsidR="00FA18EB">
        <w:rPr>
          <w:sz w:val="20"/>
          <w:szCs w:val="20"/>
        </w:rPr>
        <w:t>es</w:t>
      </w:r>
      <w:r w:rsidRPr="003D6A92">
        <w:rPr>
          <w:sz w:val="20"/>
          <w:szCs w:val="20"/>
        </w:rPr>
        <w:t xml:space="preserve"> you</w:t>
      </w:r>
      <w:r w:rsidR="00FA18EB">
        <w:rPr>
          <w:sz w:val="20"/>
          <w:szCs w:val="20"/>
        </w:rPr>
        <w:t>r Firm</w:t>
      </w:r>
      <w:r w:rsidRPr="003D6A92">
        <w:rPr>
          <w:sz w:val="20"/>
          <w:szCs w:val="20"/>
        </w:rPr>
        <w:t xml:space="preserve"> plan </w:t>
      </w:r>
      <w:r w:rsidR="00EA799E" w:rsidRPr="003D6A92">
        <w:rPr>
          <w:sz w:val="20"/>
          <w:szCs w:val="20"/>
        </w:rPr>
        <w:t>to maintain</w:t>
      </w:r>
      <w:r w:rsidRPr="003D6A92">
        <w:rPr>
          <w:sz w:val="20"/>
          <w:szCs w:val="20"/>
        </w:rPr>
        <w:t xml:space="preserve"> this spread for the </w:t>
      </w:r>
      <w:r w:rsidR="0075154B">
        <w:rPr>
          <w:sz w:val="20"/>
          <w:szCs w:val="20"/>
        </w:rPr>
        <w:t>State</w:t>
      </w:r>
      <w:r w:rsidRPr="003D6A92">
        <w:rPr>
          <w:sz w:val="20"/>
          <w:szCs w:val="20"/>
        </w:rPr>
        <w:t xml:space="preserve"> over the life of the contract?</w:t>
      </w:r>
    </w:p>
    <w:p w14:paraId="58831898" w14:textId="77777777" w:rsidR="003D6A92" w:rsidRPr="003D6A92" w:rsidRDefault="003D6A92" w:rsidP="001777FA">
      <w:pPr>
        <w:pStyle w:val="ListParagraph"/>
        <w:numPr>
          <w:ilvl w:val="0"/>
          <w:numId w:val="34"/>
        </w:numPr>
        <w:spacing w:after="160" w:line="259" w:lineRule="auto"/>
        <w:rPr>
          <w:sz w:val="20"/>
          <w:szCs w:val="20"/>
        </w:rPr>
      </w:pPr>
      <w:proofErr w:type="gramStart"/>
      <w:r w:rsidRPr="003D6A92">
        <w:rPr>
          <w:sz w:val="20"/>
          <w:szCs w:val="20"/>
        </w:rPr>
        <w:t>Can “excess” earnings credits be carried</w:t>
      </w:r>
      <w:proofErr w:type="gramEnd"/>
      <w:r w:rsidRPr="003D6A92">
        <w:rPr>
          <w:sz w:val="20"/>
          <w:szCs w:val="20"/>
        </w:rPr>
        <w:t xml:space="preserve"> forward to cover charges in the following month? Is there a limit on how far forward excess earnings credits </w:t>
      </w:r>
      <w:proofErr w:type="gramStart"/>
      <w:r w:rsidRPr="003D6A92">
        <w:rPr>
          <w:sz w:val="20"/>
          <w:szCs w:val="20"/>
        </w:rPr>
        <w:t>can be carried</w:t>
      </w:r>
      <w:proofErr w:type="gramEnd"/>
      <w:r w:rsidRPr="003D6A92">
        <w:rPr>
          <w:sz w:val="20"/>
          <w:szCs w:val="20"/>
        </w:rPr>
        <w:t>?</w:t>
      </w:r>
    </w:p>
    <w:p w14:paraId="38535204"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D970C3">
        <w:rPr>
          <w:sz w:val="20"/>
          <w:szCs w:val="20"/>
        </w:rPr>
        <w:t xml:space="preserve">Overnight Investment Option or Interest Bearing Bank </w:t>
      </w:r>
      <w:proofErr w:type="gramStart"/>
      <w:r w:rsidRPr="00D970C3">
        <w:rPr>
          <w:sz w:val="20"/>
          <w:szCs w:val="20"/>
        </w:rPr>
        <w:t>Deposit</w:t>
      </w:r>
      <w:proofErr w:type="gramEnd"/>
      <w:r w:rsidRPr="003D6A92">
        <w:rPr>
          <w:sz w:val="20"/>
          <w:szCs w:val="20"/>
        </w:rPr>
        <w:br/>
      </w:r>
      <w:r w:rsidR="00FA18EB">
        <w:rPr>
          <w:i/>
          <w:sz w:val="20"/>
          <w:szCs w:val="20"/>
        </w:rPr>
        <w:t>(If your Firm is</w:t>
      </w:r>
      <w:r w:rsidRPr="00D970C3">
        <w:rPr>
          <w:i/>
          <w:sz w:val="20"/>
          <w:szCs w:val="20"/>
        </w:rPr>
        <w:t xml:space="preserve"> proposing more than one sweep vehicle, please make sure each of the following questions is answered for each option.)</w:t>
      </w:r>
    </w:p>
    <w:p w14:paraId="6F7E3246"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What short-term investment vehicle(s) or interest bearing account(s) does the Firm propose to use</w:t>
      </w:r>
      <w:r w:rsidR="00124A56">
        <w:rPr>
          <w:sz w:val="20"/>
          <w:szCs w:val="20"/>
        </w:rPr>
        <w:t xml:space="preserve"> for the overnight sweep of the State’s main</w:t>
      </w:r>
      <w:r w:rsidRPr="003D6A92">
        <w:rPr>
          <w:sz w:val="20"/>
          <w:szCs w:val="20"/>
        </w:rPr>
        <w:t xml:space="preserve"> demand deposit accounts?</w:t>
      </w:r>
    </w:p>
    <w:p w14:paraId="575BAAEE"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Does a reserve requirement apply to the proposed option?</w:t>
      </w:r>
    </w:p>
    <w:p w14:paraId="72B93DE8"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 xml:space="preserve">Does an FDIC assessment, deposit based fee, or similar fee apply to the proposed option? </w:t>
      </w:r>
    </w:p>
    <w:p w14:paraId="4788D821" w14:textId="77777777" w:rsidR="003D6A92" w:rsidRPr="003D6A92" w:rsidRDefault="003D6A92" w:rsidP="001777FA">
      <w:pPr>
        <w:pStyle w:val="ListParagraph"/>
        <w:numPr>
          <w:ilvl w:val="1"/>
          <w:numId w:val="33"/>
        </w:numPr>
        <w:spacing w:after="160" w:line="259" w:lineRule="auto"/>
        <w:rPr>
          <w:sz w:val="20"/>
          <w:szCs w:val="20"/>
        </w:rPr>
      </w:pPr>
      <w:r w:rsidRPr="003D6A92">
        <w:rPr>
          <w:sz w:val="20"/>
          <w:szCs w:val="20"/>
        </w:rPr>
        <w:t xml:space="preserve">If so, what is the current charge for an entire year on a $1,000,000 balance? </w:t>
      </w:r>
    </w:p>
    <w:p w14:paraId="67D844B9" w14:textId="77777777" w:rsidR="003D6A92" w:rsidRPr="00A51423" w:rsidRDefault="003D6A92" w:rsidP="001777FA">
      <w:pPr>
        <w:pStyle w:val="ListParagraph"/>
        <w:numPr>
          <w:ilvl w:val="1"/>
          <w:numId w:val="33"/>
        </w:numPr>
        <w:spacing w:after="160" w:line="259" w:lineRule="auto"/>
        <w:rPr>
          <w:sz w:val="20"/>
          <w:szCs w:val="20"/>
        </w:rPr>
      </w:pPr>
      <w:r w:rsidRPr="003D6A92">
        <w:rPr>
          <w:sz w:val="20"/>
          <w:szCs w:val="20"/>
        </w:rPr>
        <w:t>Is this charge assessed on ledger or collected ba</w:t>
      </w:r>
      <w:r w:rsidRPr="00A51423">
        <w:rPr>
          <w:sz w:val="20"/>
          <w:szCs w:val="20"/>
        </w:rPr>
        <w:t>lances?</w:t>
      </w:r>
    </w:p>
    <w:p w14:paraId="6ED16C22" w14:textId="77777777" w:rsidR="003D6A92" w:rsidRPr="00457643" w:rsidRDefault="003D6A92" w:rsidP="001777FA">
      <w:pPr>
        <w:pStyle w:val="ListParagraph"/>
        <w:numPr>
          <w:ilvl w:val="0"/>
          <w:numId w:val="33"/>
        </w:numPr>
        <w:spacing w:after="160" w:line="259" w:lineRule="auto"/>
        <w:rPr>
          <w:sz w:val="20"/>
          <w:szCs w:val="20"/>
        </w:rPr>
      </w:pPr>
      <w:r w:rsidRPr="00457643">
        <w:rPr>
          <w:sz w:val="20"/>
          <w:szCs w:val="20"/>
        </w:rPr>
        <w:t xml:space="preserve">Provide investment return history for the </w:t>
      </w:r>
      <w:r w:rsidR="00457643" w:rsidRPr="00457643">
        <w:rPr>
          <w:sz w:val="20"/>
          <w:szCs w:val="20"/>
        </w:rPr>
        <w:t>5-year</w:t>
      </w:r>
      <w:r w:rsidRPr="00457643">
        <w:rPr>
          <w:sz w:val="20"/>
          <w:szCs w:val="20"/>
        </w:rPr>
        <w:t xml:space="preserve"> period from </w:t>
      </w:r>
      <w:r w:rsidR="00BD619C">
        <w:rPr>
          <w:sz w:val="20"/>
          <w:szCs w:val="20"/>
        </w:rPr>
        <w:t>January</w:t>
      </w:r>
      <w:r w:rsidR="00E35071" w:rsidRPr="00457643">
        <w:rPr>
          <w:sz w:val="20"/>
          <w:szCs w:val="20"/>
        </w:rPr>
        <w:t xml:space="preserve"> </w:t>
      </w:r>
      <w:r w:rsidR="00457643" w:rsidRPr="00457643">
        <w:rPr>
          <w:sz w:val="20"/>
          <w:szCs w:val="20"/>
        </w:rPr>
        <w:t>201</w:t>
      </w:r>
      <w:r w:rsidR="00BD619C">
        <w:rPr>
          <w:sz w:val="20"/>
          <w:szCs w:val="20"/>
        </w:rPr>
        <w:t>4</w:t>
      </w:r>
      <w:r w:rsidR="00457643" w:rsidRPr="00457643">
        <w:rPr>
          <w:sz w:val="20"/>
          <w:szCs w:val="20"/>
        </w:rPr>
        <w:t xml:space="preserve"> </w:t>
      </w:r>
      <w:r w:rsidRPr="00457643">
        <w:rPr>
          <w:sz w:val="20"/>
          <w:szCs w:val="20"/>
        </w:rPr>
        <w:t xml:space="preserve">through </w:t>
      </w:r>
      <w:r w:rsidR="00BD619C">
        <w:rPr>
          <w:sz w:val="20"/>
          <w:szCs w:val="20"/>
        </w:rPr>
        <w:t xml:space="preserve">December </w:t>
      </w:r>
      <w:r w:rsidRPr="00457643">
        <w:rPr>
          <w:sz w:val="20"/>
          <w:szCs w:val="20"/>
        </w:rPr>
        <w:t>2018 for each option proposed. Show the yield for each month.</w:t>
      </w:r>
    </w:p>
    <w:p w14:paraId="732E4903"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 xml:space="preserve">What fee (if any) </w:t>
      </w:r>
      <w:proofErr w:type="gramStart"/>
      <w:r w:rsidRPr="003D6A92">
        <w:rPr>
          <w:sz w:val="20"/>
          <w:szCs w:val="20"/>
        </w:rPr>
        <w:t>is charged</w:t>
      </w:r>
      <w:proofErr w:type="gramEnd"/>
      <w:r w:rsidRPr="003D6A92">
        <w:rPr>
          <w:sz w:val="20"/>
          <w:szCs w:val="20"/>
        </w:rPr>
        <w:t xml:space="preserve"> to sweep funds into the proposed investment vehicle(s)? </w:t>
      </w:r>
      <w:proofErr w:type="gramStart"/>
      <w:r w:rsidRPr="003D6A92">
        <w:rPr>
          <w:sz w:val="20"/>
          <w:szCs w:val="20"/>
        </w:rPr>
        <w:t>Is the charged assessed</w:t>
      </w:r>
      <w:proofErr w:type="gramEnd"/>
      <w:r w:rsidRPr="003D6A92">
        <w:rPr>
          <w:sz w:val="20"/>
          <w:szCs w:val="20"/>
        </w:rPr>
        <w:t xml:space="preserve"> per account or by the relationship?</w:t>
      </w:r>
    </w:p>
    <w:p w14:paraId="51B3F140" w14:textId="77777777" w:rsidR="003D6A92" w:rsidRDefault="003D6A92" w:rsidP="001777FA">
      <w:pPr>
        <w:pStyle w:val="ListParagraph"/>
        <w:numPr>
          <w:ilvl w:val="0"/>
          <w:numId w:val="33"/>
        </w:numPr>
        <w:spacing w:after="160" w:line="259" w:lineRule="auto"/>
        <w:rPr>
          <w:sz w:val="20"/>
          <w:szCs w:val="20"/>
        </w:rPr>
      </w:pPr>
      <w:r w:rsidRPr="003D6A92">
        <w:rPr>
          <w:sz w:val="20"/>
          <w:szCs w:val="20"/>
        </w:rPr>
        <w:t>If the Firm is proposing a money market mutual fund, provide a copy of the current prospectus and identify the class of shares by providing the ticker symbol or CUSIP.</w:t>
      </w:r>
    </w:p>
    <w:p w14:paraId="7F3AF325" w14:textId="77777777" w:rsidR="00D939DF" w:rsidRDefault="00D939DF" w:rsidP="001777FA">
      <w:pPr>
        <w:pStyle w:val="ListParagraph"/>
        <w:numPr>
          <w:ilvl w:val="0"/>
          <w:numId w:val="33"/>
        </w:numPr>
        <w:spacing w:after="160" w:line="259" w:lineRule="auto"/>
        <w:rPr>
          <w:sz w:val="20"/>
          <w:szCs w:val="20"/>
        </w:rPr>
      </w:pPr>
      <w:r>
        <w:rPr>
          <w:sz w:val="20"/>
          <w:szCs w:val="20"/>
        </w:rPr>
        <w:t>If desired, is the State able to sweep funds to an overnight investment vehicle managed by the State’s custodian?</w:t>
      </w:r>
    </w:p>
    <w:p w14:paraId="138EDCE9"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Collateral Requirements</w:t>
      </w:r>
    </w:p>
    <w:p w14:paraId="6ABDA3E5" w14:textId="77777777" w:rsidR="003D6A92" w:rsidRDefault="003D6A92" w:rsidP="001777FA">
      <w:pPr>
        <w:pStyle w:val="ListParagraph"/>
        <w:numPr>
          <w:ilvl w:val="0"/>
          <w:numId w:val="36"/>
        </w:numPr>
        <w:spacing w:after="160" w:line="259" w:lineRule="auto"/>
        <w:rPr>
          <w:sz w:val="20"/>
          <w:szCs w:val="20"/>
        </w:rPr>
      </w:pPr>
      <w:r w:rsidRPr="003D6A92">
        <w:rPr>
          <w:sz w:val="20"/>
          <w:szCs w:val="20"/>
        </w:rPr>
        <w:t xml:space="preserve">Please confirm the Firm’s willingness to comply with the Guidelines. If there are any exceptions </w:t>
      </w:r>
      <w:r w:rsidR="00845894">
        <w:rPr>
          <w:sz w:val="20"/>
          <w:szCs w:val="20"/>
        </w:rPr>
        <w:t>for the State to consider</w:t>
      </w:r>
      <w:r w:rsidRPr="003D6A92">
        <w:rPr>
          <w:sz w:val="20"/>
          <w:szCs w:val="20"/>
        </w:rPr>
        <w:t>, id</w:t>
      </w:r>
      <w:r w:rsidR="00845894">
        <w:rPr>
          <w:sz w:val="20"/>
          <w:szCs w:val="20"/>
        </w:rPr>
        <w:t>entify those,</w:t>
      </w:r>
      <w:r w:rsidRPr="003D6A92">
        <w:rPr>
          <w:sz w:val="20"/>
          <w:szCs w:val="20"/>
        </w:rPr>
        <w:t xml:space="preserve"> and the i</w:t>
      </w:r>
      <w:r w:rsidR="00845894">
        <w:rPr>
          <w:sz w:val="20"/>
          <w:szCs w:val="20"/>
        </w:rPr>
        <w:t>mpact they</w:t>
      </w:r>
      <w:r w:rsidRPr="003D6A92">
        <w:rPr>
          <w:sz w:val="20"/>
          <w:szCs w:val="20"/>
        </w:rPr>
        <w:t xml:space="preserve"> can have on the Firm’s offering.</w:t>
      </w:r>
    </w:p>
    <w:p w14:paraId="08456C73" w14:textId="77777777" w:rsidR="00427F5C" w:rsidRDefault="00427F5C" w:rsidP="001777FA">
      <w:pPr>
        <w:pStyle w:val="ListParagraph"/>
        <w:numPr>
          <w:ilvl w:val="0"/>
          <w:numId w:val="36"/>
        </w:numPr>
        <w:spacing w:after="160" w:line="259" w:lineRule="auto"/>
        <w:rPr>
          <w:sz w:val="20"/>
          <w:szCs w:val="20"/>
        </w:rPr>
      </w:pPr>
      <w:r>
        <w:rPr>
          <w:sz w:val="20"/>
          <w:szCs w:val="20"/>
        </w:rPr>
        <w:t xml:space="preserve">Explain how the Firm’s approach to collateralization </w:t>
      </w:r>
      <w:proofErr w:type="gramStart"/>
      <w:r>
        <w:rPr>
          <w:sz w:val="20"/>
          <w:szCs w:val="20"/>
        </w:rPr>
        <w:t>impacts</w:t>
      </w:r>
      <w:proofErr w:type="gramEnd"/>
      <w:r>
        <w:rPr>
          <w:sz w:val="20"/>
          <w:szCs w:val="20"/>
        </w:rPr>
        <w:t xml:space="preserve"> the proposed pricing.</w:t>
      </w:r>
    </w:p>
    <w:p w14:paraId="6A5E2C99" w14:textId="77777777" w:rsidR="00427F5C" w:rsidRPr="00427F5C" w:rsidRDefault="00B55BAF" w:rsidP="00427F5C">
      <w:pPr>
        <w:pStyle w:val="ListParagraph"/>
        <w:numPr>
          <w:ilvl w:val="0"/>
          <w:numId w:val="36"/>
        </w:numPr>
        <w:spacing w:after="160" w:line="259" w:lineRule="auto"/>
        <w:rPr>
          <w:sz w:val="20"/>
          <w:szCs w:val="20"/>
        </w:rPr>
      </w:pPr>
      <w:r>
        <w:rPr>
          <w:sz w:val="20"/>
          <w:szCs w:val="20"/>
        </w:rPr>
        <w:t>What type of collateral does the Firm</w:t>
      </w:r>
      <w:r w:rsidR="00CE7648" w:rsidRPr="003D6A92">
        <w:rPr>
          <w:sz w:val="20"/>
          <w:szCs w:val="20"/>
        </w:rPr>
        <w:t xml:space="preserve"> propose?</w:t>
      </w:r>
      <w:r w:rsidR="00CE7648">
        <w:rPr>
          <w:sz w:val="20"/>
          <w:szCs w:val="20"/>
        </w:rPr>
        <w:t xml:space="preserve"> Explain in detail.</w:t>
      </w:r>
    </w:p>
    <w:p w14:paraId="39E1EBF5" w14:textId="77777777" w:rsidR="003D6A92" w:rsidRPr="003D6A92" w:rsidRDefault="003D6A92" w:rsidP="001777FA">
      <w:pPr>
        <w:pStyle w:val="ListParagraph"/>
        <w:numPr>
          <w:ilvl w:val="0"/>
          <w:numId w:val="36"/>
        </w:numPr>
        <w:spacing w:after="160" w:line="259" w:lineRule="auto"/>
        <w:rPr>
          <w:sz w:val="20"/>
          <w:szCs w:val="20"/>
        </w:rPr>
      </w:pPr>
      <w:r w:rsidRPr="003D6A92">
        <w:rPr>
          <w:sz w:val="20"/>
          <w:szCs w:val="20"/>
        </w:rPr>
        <w:t xml:space="preserve">Where </w:t>
      </w:r>
      <w:proofErr w:type="gramStart"/>
      <w:r w:rsidRPr="003D6A92">
        <w:rPr>
          <w:sz w:val="20"/>
          <w:szCs w:val="20"/>
        </w:rPr>
        <w:t xml:space="preserve">will </w:t>
      </w:r>
      <w:r w:rsidR="00E2538A">
        <w:rPr>
          <w:sz w:val="20"/>
          <w:szCs w:val="20"/>
        </w:rPr>
        <w:t xml:space="preserve">the </w:t>
      </w:r>
      <w:r w:rsidRPr="003D6A92">
        <w:rPr>
          <w:sz w:val="20"/>
          <w:szCs w:val="20"/>
        </w:rPr>
        <w:t>collateral be held</w:t>
      </w:r>
      <w:proofErr w:type="gramEnd"/>
      <w:r w:rsidRPr="003D6A92">
        <w:rPr>
          <w:sz w:val="20"/>
          <w:szCs w:val="20"/>
        </w:rPr>
        <w:t>? What type of collateral reports will the State</w:t>
      </w:r>
      <w:r w:rsidR="00CE7648">
        <w:rPr>
          <w:sz w:val="20"/>
          <w:szCs w:val="20"/>
        </w:rPr>
        <w:t xml:space="preserve"> receive</w:t>
      </w:r>
      <w:r w:rsidRPr="003D6A92">
        <w:rPr>
          <w:sz w:val="20"/>
          <w:szCs w:val="20"/>
        </w:rPr>
        <w:t>? Who sends these reports and how frequently?</w:t>
      </w:r>
    </w:p>
    <w:p w14:paraId="2B25F1F1"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End-of-Day Overdrafts</w:t>
      </w:r>
    </w:p>
    <w:p w14:paraId="69BF7F84"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 xml:space="preserve">Does the Firm return items if an overdraft exists? If yes, how flexible is this policy? </w:t>
      </w:r>
    </w:p>
    <w:p w14:paraId="728BEA67"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 xml:space="preserve">What are the fees and interest charges associated with overdrafts? How </w:t>
      </w:r>
      <w:proofErr w:type="gramStart"/>
      <w:r w:rsidRPr="003D6A92">
        <w:rPr>
          <w:sz w:val="20"/>
          <w:szCs w:val="20"/>
        </w:rPr>
        <w:t>are these charges calculated</w:t>
      </w:r>
      <w:proofErr w:type="gramEnd"/>
      <w:r w:rsidRPr="003D6A92">
        <w:rPr>
          <w:sz w:val="20"/>
          <w:szCs w:val="20"/>
        </w:rPr>
        <w:t>?</w:t>
      </w:r>
    </w:p>
    <w:p w14:paraId="7CAC707E"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Is there a fee per check or per occurrence when there is an overdraft? If so, what is it?</w:t>
      </w:r>
    </w:p>
    <w:p w14:paraId="7E64945F"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 xml:space="preserve">Is there a daily cap on fees? If so, what is it? </w:t>
      </w:r>
    </w:p>
    <w:p w14:paraId="739CF16D" w14:textId="77777777" w:rsidR="00E35071" w:rsidRDefault="00E35071" w:rsidP="00303F48">
      <w:pPr>
        <w:pStyle w:val="Heading5"/>
        <w:numPr>
          <w:ilvl w:val="0"/>
          <w:numId w:val="165"/>
        </w:numPr>
      </w:pPr>
      <w:r w:rsidRPr="00097581">
        <w:t>New Services &amp; Ideas</w:t>
      </w:r>
    </w:p>
    <w:p w14:paraId="66E6D89C" w14:textId="77777777" w:rsidR="00E35071" w:rsidRPr="00097581" w:rsidRDefault="00E35071" w:rsidP="00E35071"/>
    <w:p w14:paraId="4110B5CF" w14:textId="77777777" w:rsidR="00E35071" w:rsidRDefault="00E35071" w:rsidP="00B57C4D">
      <w:pPr>
        <w:pStyle w:val="ListParagraph"/>
        <w:numPr>
          <w:ilvl w:val="0"/>
          <w:numId w:val="72"/>
        </w:numPr>
        <w:spacing w:after="160" w:line="259" w:lineRule="auto"/>
        <w:ind w:left="720"/>
        <w:rPr>
          <w:sz w:val="20"/>
          <w:szCs w:val="20"/>
        </w:rPr>
      </w:pPr>
      <w:r w:rsidRPr="004C1FD9">
        <w:rPr>
          <w:sz w:val="20"/>
          <w:szCs w:val="20"/>
        </w:rPr>
        <w:t>Describe any new services or ideas that will enhance the State</w:t>
      </w:r>
      <w:r w:rsidR="0075154B">
        <w:rPr>
          <w:sz w:val="20"/>
          <w:szCs w:val="20"/>
        </w:rPr>
        <w:t xml:space="preserve"> agencies’</w:t>
      </w:r>
      <w:r w:rsidRPr="004C1FD9">
        <w:rPr>
          <w:sz w:val="20"/>
          <w:szCs w:val="20"/>
        </w:rPr>
        <w:t xml:space="preserve"> use of</w:t>
      </w:r>
      <w:r>
        <w:rPr>
          <w:sz w:val="20"/>
          <w:szCs w:val="20"/>
        </w:rPr>
        <w:t xml:space="preserve"> </w:t>
      </w:r>
      <w:r w:rsidR="00BA7238">
        <w:rPr>
          <w:sz w:val="20"/>
          <w:szCs w:val="20"/>
        </w:rPr>
        <w:t xml:space="preserve">local branch </w:t>
      </w:r>
      <w:r>
        <w:rPr>
          <w:sz w:val="20"/>
          <w:szCs w:val="20"/>
        </w:rPr>
        <w:t>banking services.</w:t>
      </w:r>
      <w:r w:rsidRPr="004C1FD9">
        <w:rPr>
          <w:sz w:val="20"/>
          <w:szCs w:val="20"/>
        </w:rPr>
        <w:t xml:space="preserve"> </w:t>
      </w:r>
    </w:p>
    <w:p w14:paraId="391B9792" w14:textId="77777777" w:rsidR="00E35071" w:rsidRDefault="00E35071" w:rsidP="00B57C4D">
      <w:pPr>
        <w:pStyle w:val="ListParagraph"/>
        <w:numPr>
          <w:ilvl w:val="0"/>
          <w:numId w:val="72"/>
        </w:numPr>
        <w:spacing w:after="160" w:line="259" w:lineRule="auto"/>
        <w:ind w:left="720"/>
        <w:rPr>
          <w:sz w:val="20"/>
          <w:szCs w:val="20"/>
        </w:rPr>
      </w:pPr>
      <w:r>
        <w:rPr>
          <w:sz w:val="20"/>
          <w:szCs w:val="20"/>
        </w:rPr>
        <w:t>Provide any additional information you</w:t>
      </w:r>
      <w:r w:rsidR="001E1BAC">
        <w:rPr>
          <w:sz w:val="20"/>
          <w:szCs w:val="20"/>
        </w:rPr>
        <w:t>r Firm</w:t>
      </w:r>
      <w:r>
        <w:rPr>
          <w:sz w:val="20"/>
          <w:szCs w:val="20"/>
        </w:rPr>
        <w:t xml:space="preserve"> believe</w:t>
      </w:r>
      <w:r w:rsidR="001E1BAC">
        <w:rPr>
          <w:sz w:val="20"/>
          <w:szCs w:val="20"/>
        </w:rPr>
        <w:t>s</w:t>
      </w:r>
      <w:r>
        <w:rPr>
          <w:sz w:val="20"/>
          <w:szCs w:val="20"/>
        </w:rPr>
        <w:t xml:space="preserve"> to be pertinent to your ability to provide this service but not specifically requested elsewhere in this RFP.</w:t>
      </w:r>
    </w:p>
    <w:p w14:paraId="72929FEA" w14:textId="77777777" w:rsidR="00A37934" w:rsidRDefault="00A37934" w:rsidP="00303F48">
      <w:pPr>
        <w:pStyle w:val="Heading5"/>
        <w:numPr>
          <w:ilvl w:val="0"/>
          <w:numId w:val="165"/>
        </w:numPr>
      </w:pPr>
      <w:r w:rsidRPr="004C1FD9">
        <w:t>Implementation / Conversion</w:t>
      </w:r>
    </w:p>
    <w:p w14:paraId="7E0DD914" w14:textId="77777777" w:rsidR="00A37934" w:rsidRPr="00722CB6" w:rsidRDefault="00A37934" w:rsidP="00A37934"/>
    <w:p w14:paraId="744DC4E1" w14:textId="77777777" w:rsidR="00A37934" w:rsidRDefault="005F67A6" w:rsidP="00B57C4D">
      <w:pPr>
        <w:pStyle w:val="ListParagraph"/>
        <w:numPr>
          <w:ilvl w:val="0"/>
          <w:numId w:val="89"/>
        </w:numPr>
        <w:spacing w:after="160" w:line="259" w:lineRule="auto"/>
        <w:rPr>
          <w:sz w:val="20"/>
          <w:szCs w:val="20"/>
        </w:rPr>
      </w:pPr>
      <w:r>
        <w:rPr>
          <w:sz w:val="20"/>
          <w:szCs w:val="20"/>
        </w:rPr>
        <w:t>After executing a master agreement between your Firm and OST, what documentation or paperwork do you need from individual State agencies to open up accounts, establish credentials, etc.?</w:t>
      </w:r>
    </w:p>
    <w:p w14:paraId="6686EC3D" w14:textId="77777777" w:rsidR="00A37934" w:rsidRPr="00097581" w:rsidRDefault="005F67A6" w:rsidP="00B57C4D">
      <w:pPr>
        <w:pStyle w:val="ListParagraph"/>
        <w:numPr>
          <w:ilvl w:val="0"/>
          <w:numId w:val="89"/>
        </w:numPr>
        <w:spacing w:after="160" w:line="259" w:lineRule="auto"/>
        <w:rPr>
          <w:sz w:val="20"/>
          <w:szCs w:val="20"/>
        </w:rPr>
      </w:pPr>
      <w:r>
        <w:rPr>
          <w:sz w:val="20"/>
          <w:szCs w:val="20"/>
        </w:rPr>
        <w:t>What education</w:t>
      </w:r>
      <w:r w:rsidR="000C35B7">
        <w:rPr>
          <w:sz w:val="20"/>
          <w:szCs w:val="20"/>
        </w:rPr>
        <w:t>al</w:t>
      </w:r>
      <w:r>
        <w:rPr>
          <w:sz w:val="20"/>
          <w:szCs w:val="20"/>
        </w:rPr>
        <w:t xml:space="preserve"> materials are available to </w:t>
      </w:r>
      <w:r w:rsidR="00991CF8">
        <w:rPr>
          <w:sz w:val="20"/>
          <w:szCs w:val="20"/>
        </w:rPr>
        <w:t>State a</w:t>
      </w:r>
      <w:r w:rsidR="00A37934" w:rsidRPr="004C1FD9">
        <w:rPr>
          <w:sz w:val="20"/>
          <w:szCs w:val="20"/>
        </w:rPr>
        <w:t xml:space="preserve">gency </w:t>
      </w:r>
      <w:r w:rsidR="00A37934" w:rsidRPr="00097581">
        <w:rPr>
          <w:sz w:val="20"/>
          <w:szCs w:val="20"/>
        </w:rPr>
        <w:t xml:space="preserve">employees </w:t>
      </w:r>
      <w:r w:rsidR="00D84142">
        <w:rPr>
          <w:sz w:val="20"/>
          <w:szCs w:val="20"/>
        </w:rPr>
        <w:t>for</w:t>
      </w:r>
      <w:r w:rsidR="00D84142" w:rsidRPr="00097581">
        <w:rPr>
          <w:sz w:val="20"/>
          <w:szCs w:val="20"/>
        </w:rPr>
        <w:t xml:space="preserve"> </w:t>
      </w:r>
      <w:r w:rsidR="00A37934" w:rsidRPr="00097581">
        <w:rPr>
          <w:sz w:val="20"/>
          <w:szCs w:val="20"/>
        </w:rPr>
        <w:t xml:space="preserve">the use of your </w:t>
      </w:r>
      <w:r w:rsidR="0018673B">
        <w:rPr>
          <w:sz w:val="20"/>
          <w:szCs w:val="20"/>
        </w:rPr>
        <w:t>Firm</w:t>
      </w:r>
      <w:r w:rsidR="00A37934" w:rsidRPr="00097581">
        <w:rPr>
          <w:sz w:val="20"/>
          <w:szCs w:val="20"/>
        </w:rPr>
        <w:t xml:space="preserve">’s </w:t>
      </w:r>
      <w:r w:rsidR="00201148">
        <w:rPr>
          <w:sz w:val="20"/>
          <w:szCs w:val="20"/>
        </w:rPr>
        <w:t xml:space="preserve">products and/or </w:t>
      </w:r>
      <w:r w:rsidR="00A37934" w:rsidRPr="00097581">
        <w:rPr>
          <w:sz w:val="20"/>
          <w:szCs w:val="20"/>
        </w:rPr>
        <w:t>system</w:t>
      </w:r>
      <w:r w:rsidR="00201148">
        <w:rPr>
          <w:sz w:val="20"/>
          <w:szCs w:val="20"/>
        </w:rPr>
        <w:t>?</w:t>
      </w:r>
    </w:p>
    <w:p w14:paraId="6121CDC7" w14:textId="77777777" w:rsidR="00B7580D" w:rsidRDefault="00B7580D" w:rsidP="00303F48">
      <w:pPr>
        <w:pStyle w:val="Heading5"/>
        <w:numPr>
          <w:ilvl w:val="0"/>
          <w:numId w:val="165"/>
        </w:numPr>
      </w:pPr>
      <w:r>
        <w:t>Pricing &amp; Fees</w:t>
      </w:r>
    </w:p>
    <w:p w14:paraId="68E04187" w14:textId="77777777" w:rsidR="00B7580D" w:rsidRPr="00F13394" w:rsidRDefault="00B7580D" w:rsidP="00B7580D"/>
    <w:p w14:paraId="7E3ECA01" w14:textId="77777777" w:rsidR="00B7580D" w:rsidRDefault="00B7580D" w:rsidP="00B57C4D">
      <w:pPr>
        <w:pStyle w:val="ListParagraph"/>
        <w:numPr>
          <w:ilvl w:val="0"/>
          <w:numId w:val="78"/>
        </w:numPr>
        <w:tabs>
          <w:tab w:val="left" w:pos="1080"/>
        </w:tabs>
        <w:spacing w:after="160" w:line="259" w:lineRule="auto"/>
        <w:rPr>
          <w:sz w:val="20"/>
          <w:szCs w:val="20"/>
        </w:rPr>
      </w:pPr>
      <w:r>
        <w:rPr>
          <w:sz w:val="20"/>
          <w:szCs w:val="20"/>
        </w:rPr>
        <w:t xml:space="preserve">If the State chooses to use compensating balances, are there any charges that </w:t>
      </w:r>
      <w:proofErr w:type="gramStart"/>
      <w:r>
        <w:rPr>
          <w:sz w:val="20"/>
          <w:szCs w:val="20"/>
        </w:rPr>
        <w:t>could not be paid</w:t>
      </w:r>
      <w:proofErr w:type="gramEnd"/>
      <w:r>
        <w:rPr>
          <w:sz w:val="20"/>
          <w:szCs w:val="20"/>
        </w:rPr>
        <w:t xml:space="preserve"> in this way?</w:t>
      </w:r>
    </w:p>
    <w:p w14:paraId="49D89321" w14:textId="77777777" w:rsidR="00612EB0" w:rsidRDefault="00612EB0" w:rsidP="00B57C4D">
      <w:pPr>
        <w:pStyle w:val="ListParagraph"/>
        <w:numPr>
          <w:ilvl w:val="0"/>
          <w:numId w:val="78"/>
        </w:numPr>
        <w:spacing w:after="160" w:line="259" w:lineRule="auto"/>
        <w:rPr>
          <w:sz w:val="20"/>
          <w:szCs w:val="20"/>
        </w:rPr>
      </w:pPr>
      <w:r>
        <w:rPr>
          <w:sz w:val="20"/>
          <w:szCs w:val="20"/>
        </w:rPr>
        <w:t xml:space="preserve">For a single bank account, what monthly maintenance charges would apply for the recommended structure (i.e. account maintenance fee, check block/positive pay, ACH debit block, online reporting, etc.)?    </w:t>
      </w:r>
    </w:p>
    <w:p w14:paraId="1491421E" w14:textId="77777777" w:rsidR="008A2A93" w:rsidRPr="00E573F0" w:rsidRDefault="008A2A93" w:rsidP="00B57C4D">
      <w:pPr>
        <w:pStyle w:val="ListParagraph"/>
        <w:numPr>
          <w:ilvl w:val="0"/>
          <w:numId w:val="78"/>
        </w:numPr>
        <w:spacing w:after="160" w:line="259" w:lineRule="auto"/>
        <w:rPr>
          <w:sz w:val="20"/>
          <w:szCs w:val="20"/>
        </w:rPr>
      </w:pPr>
      <w:r>
        <w:rPr>
          <w:sz w:val="20"/>
          <w:szCs w:val="20"/>
        </w:rPr>
        <w:t xml:space="preserve">Complete the </w:t>
      </w:r>
      <w:r w:rsidR="006E0A16">
        <w:rPr>
          <w:sz w:val="20"/>
          <w:szCs w:val="20"/>
        </w:rPr>
        <w:t>schedule of fees</w:t>
      </w:r>
      <w:r>
        <w:rPr>
          <w:sz w:val="20"/>
          <w:szCs w:val="20"/>
        </w:rPr>
        <w:t xml:space="preserve"> provided in </w:t>
      </w:r>
      <w:r w:rsidRPr="00967D1D">
        <w:rPr>
          <w:b/>
          <w:sz w:val="20"/>
          <w:szCs w:val="20"/>
        </w:rPr>
        <w:t xml:space="preserve">Attachment </w:t>
      </w:r>
      <w:r w:rsidR="00967D1D">
        <w:rPr>
          <w:b/>
          <w:sz w:val="20"/>
          <w:szCs w:val="20"/>
        </w:rPr>
        <w:t>4.</w:t>
      </w:r>
      <w:r w:rsidR="00041EAE" w:rsidRPr="00041EAE">
        <w:rPr>
          <w:sz w:val="20"/>
          <w:szCs w:val="20"/>
        </w:rPr>
        <w:t xml:space="preserve">  Since multiple awards </w:t>
      </w:r>
      <w:proofErr w:type="gramStart"/>
      <w:r w:rsidR="00041EAE">
        <w:rPr>
          <w:sz w:val="20"/>
          <w:szCs w:val="20"/>
        </w:rPr>
        <w:t>will be made</w:t>
      </w:r>
      <w:proofErr w:type="gramEnd"/>
      <w:r w:rsidR="00041EAE">
        <w:rPr>
          <w:sz w:val="20"/>
          <w:szCs w:val="20"/>
        </w:rPr>
        <w:t xml:space="preserve"> with this RFP, proposed pricing can be presented under a “low volume” and “high volume” scenario. Please denote what constitutes the “high volume” scenario, preferably based on the number of accounts maintain at your Firm. </w:t>
      </w:r>
      <w:r w:rsidR="00B0188B" w:rsidRPr="00CC34E6">
        <w:rPr>
          <w:b/>
          <w:i/>
          <w:sz w:val="20"/>
          <w:szCs w:val="20"/>
        </w:rPr>
        <w:t xml:space="preserve">(Note: If your Firm </w:t>
      </w:r>
      <w:proofErr w:type="gramStart"/>
      <w:r w:rsidR="00B0188B" w:rsidRPr="00CC34E6">
        <w:rPr>
          <w:b/>
          <w:i/>
          <w:sz w:val="20"/>
          <w:szCs w:val="20"/>
        </w:rPr>
        <w:t>is awarded</w:t>
      </w:r>
      <w:proofErr w:type="gramEnd"/>
      <w:r w:rsidR="00B0188B" w:rsidRPr="00CC34E6">
        <w:rPr>
          <w:b/>
          <w:i/>
          <w:sz w:val="20"/>
          <w:szCs w:val="20"/>
        </w:rPr>
        <w:t xml:space="preserve"> the Primary OTC Collections account, it will be assumed that the proposed pricing for the Primary OTC Collections account will apply for all of the State agency accounts).</w:t>
      </w:r>
    </w:p>
    <w:p w14:paraId="23A2264F" w14:textId="77777777" w:rsidR="003E0ABB" w:rsidRDefault="003E0ABB">
      <w:pPr>
        <w:rPr>
          <w:b/>
          <w:sz w:val="20"/>
          <w:szCs w:val="20"/>
        </w:rPr>
      </w:pPr>
      <w:r>
        <w:rPr>
          <w:b/>
          <w:sz w:val="20"/>
          <w:szCs w:val="20"/>
        </w:rPr>
        <w:br w:type="page"/>
      </w:r>
    </w:p>
    <w:p w14:paraId="1EA45B06" w14:textId="77777777" w:rsidR="002A380A" w:rsidRDefault="002A380A" w:rsidP="002A380A">
      <w:pPr>
        <w:pStyle w:val="Heading4"/>
      </w:pPr>
      <w:r>
        <w:t>Attachment 2:  Requirements Matrix</w:t>
      </w:r>
    </w:p>
    <w:p w14:paraId="2244C31B" w14:textId="77777777" w:rsidR="002A380A" w:rsidRDefault="00422E10" w:rsidP="002A380A">
      <w:pPr>
        <w:rPr>
          <w:sz w:val="20"/>
          <w:szCs w:val="20"/>
        </w:rPr>
      </w:pPr>
      <w:r w:rsidRPr="00BE7E61">
        <w:rPr>
          <w:sz w:val="20"/>
          <w:szCs w:val="20"/>
        </w:rPr>
        <w:t xml:space="preserve">CONTRACT NUMBER:  </w:t>
      </w:r>
      <w:r w:rsidR="00BA7238" w:rsidRPr="00CC34E6">
        <w:rPr>
          <w:sz w:val="20"/>
          <w:szCs w:val="20"/>
        </w:rPr>
        <w:t>TRE19202-LOCALBANKS</w:t>
      </w:r>
    </w:p>
    <w:p w14:paraId="42FDB90D" w14:textId="77777777" w:rsidR="00422E10" w:rsidRDefault="00422E10" w:rsidP="002A380A">
      <w:pPr>
        <w:rPr>
          <w:sz w:val="22"/>
          <w:szCs w:val="22"/>
        </w:rPr>
      </w:pPr>
    </w:p>
    <w:p w14:paraId="1AB10430" w14:textId="77777777" w:rsidR="002A380A" w:rsidRPr="003D54C7" w:rsidRDefault="002A380A" w:rsidP="002A380A">
      <w:pPr>
        <w:rPr>
          <w:sz w:val="22"/>
          <w:szCs w:val="22"/>
        </w:rPr>
      </w:pPr>
      <w:r w:rsidRPr="003D54C7">
        <w:rPr>
          <w:sz w:val="22"/>
          <w:szCs w:val="22"/>
        </w:rPr>
        <w:t xml:space="preserve">Please complete excel file entitled </w:t>
      </w:r>
      <w:r>
        <w:rPr>
          <w:sz w:val="22"/>
          <w:szCs w:val="22"/>
        </w:rPr>
        <w:t>Requirements Matrix</w:t>
      </w:r>
      <w:r w:rsidRPr="003D54C7">
        <w:rPr>
          <w:sz w:val="22"/>
          <w:szCs w:val="22"/>
        </w:rPr>
        <w:t xml:space="preserve"> attached to this document.</w:t>
      </w:r>
    </w:p>
    <w:p w14:paraId="13FA5E76" w14:textId="77777777" w:rsidR="002A380A" w:rsidRPr="003D54C7" w:rsidRDefault="002A380A" w:rsidP="002A380A">
      <w:pPr>
        <w:rPr>
          <w:sz w:val="22"/>
          <w:szCs w:val="22"/>
        </w:rPr>
      </w:pPr>
    </w:p>
    <w:p w14:paraId="0706911D" w14:textId="77777777" w:rsidR="002A380A" w:rsidRPr="003D54C7" w:rsidRDefault="002A380A" w:rsidP="002A380A">
      <w:pPr>
        <w:rPr>
          <w:sz w:val="22"/>
          <w:szCs w:val="22"/>
        </w:rPr>
      </w:pPr>
    </w:p>
    <w:p w14:paraId="21F9BA83" w14:textId="77777777" w:rsidR="002A380A" w:rsidRPr="003D54C7" w:rsidRDefault="002A380A" w:rsidP="002A380A">
      <w:pPr>
        <w:rPr>
          <w:sz w:val="22"/>
          <w:szCs w:val="22"/>
        </w:rPr>
      </w:pPr>
    </w:p>
    <w:p w14:paraId="0474F72E" w14:textId="77777777" w:rsidR="002A380A" w:rsidRPr="003D54C7" w:rsidRDefault="002A380A" w:rsidP="002A380A">
      <w:pPr>
        <w:rPr>
          <w:sz w:val="22"/>
          <w:szCs w:val="22"/>
        </w:rPr>
      </w:pPr>
    </w:p>
    <w:p w14:paraId="163B4D0C" w14:textId="77777777" w:rsidR="002A380A" w:rsidRPr="003D54C7" w:rsidRDefault="002A380A" w:rsidP="002A380A">
      <w:pPr>
        <w:rPr>
          <w:sz w:val="22"/>
          <w:szCs w:val="22"/>
        </w:rPr>
      </w:pPr>
    </w:p>
    <w:p w14:paraId="7C0774B6" w14:textId="77777777" w:rsidR="002A380A" w:rsidRPr="003D54C7" w:rsidRDefault="002A380A" w:rsidP="002A380A">
      <w:pPr>
        <w:rPr>
          <w:rFonts w:ascii="Arial Black" w:hAnsi="Arial Black"/>
          <w:b/>
          <w:sz w:val="22"/>
          <w:szCs w:val="22"/>
        </w:rPr>
      </w:pPr>
      <w:r w:rsidRPr="003D54C7">
        <w:rPr>
          <w:sz w:val="22"/>
          <w:szCs w:val="22"/>
        </w:rPr>
        <w:t>The remainder of this page intentionally left blank</w:t>
      </w:r>
      <w:r>
        <w:rPr>
          <w:sz w:val="22"/>
          <w:szCs w:val="22"/>
        </w:rPr>
        <w:t>.</w:t>
      </w:r>
    </w:p>
    <w:p w14:paraId="45156287" w14:textId="77777777" w:rsidR="002A380A" w:rsidRPr="00F41FBE" w:rsidRDefault="002A380A" w:rsidP="002A380A">
      <w:pPr>
        <w:rPr>
          <w:sz w:val="20"/>
          <w:szCs w:val="20"/>
        </w:rPr>
      </w:pPr>
    </w:p>
    <w:p w14:paraId="6071AAFC" w14:textId="77777777" w:rsidR="002A380A" w:rsidRDefault="002A380A" w:rsidP="002A380A"/>
    <w:p w14:paraId="03B96C81" w14:textId="77777777" w:rsidR="002A380A" w:rsidRDefault="002A380A">
      <w:pPr>
        <w:rPr>
          <w:rFonts w:ascii="Arial Black" w:hAnsi="Arial Black"/>
          <w:b/>
          <w:sz w:val="28"/>
          <w:szCs w:val="28"/>
        </w:rPr>
      </w:pPr>
      <w:r>
        <w:br w:type="page"/>
      </w:r>
    </w:p>
    <w:p w14:paraId="7B843400" w14:textId="77777777" w:rsidR="006D6145" w:rsidRDefault="006D6145" w:rsidP="00F13394">
      <w:pPr>
        <w:pStyle w:val="Heading4"/>
      </w:pPr>
      <w:r>
        <w:t xml:space="preserve">Attachment </w:t>
      </w:r>
      <w:r w:rsidR="00B6771F">
        <w:t>3</w:t>
      </w:r>
      <w:r>
        <w:t>:  Confidential or Proprietary Information Form</w:t>
      </w:r>
    </w:p>
    <w:p w14:paraId="19CBEB79" w14:textId="77777777" w:rsidR="006D6145" w:rsidRPr="00F41FBE" w:rsidRDefault="006D6145" w:rsidP="006D6145">
      <w:pPr>
        <w:rPr>
          <w:sz w:val="20"/>
          <w:szCs w:val="20"/>
        </w:rPr>
      </w:pPr>
      <w:r w:rsidRPr="00F41FBE">
        <w:rPr>
          <w:sz w:val="20"/>
          <w:szCs w:val="20"/>
        </w:rPr>
        <w:t xml:space="preserve">CONTRACT NUMBER:  </w:t>
      </w:r>
      <w:r w:rsidR="00FB1F4E" w:rsidRPr="00CC34E6">
        <w:rPr>
          <w:sz w:val="20"/>
          <w:szCs w:val="20"/>
        </w:rPr>
        <w:t>TRE19202-LOCALBANKS</w:t>
      </w:r>
    </w:p>
    <w:p w14:paraId="3F154405" w14:textId="77777777" w:rsidR="006D6145" w:rsidRPr="00B93529" w:rsidRDefault="006D6145" w:rsidP="006D614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cs="Times New Roman"/>
          <w:sz w:val="22"/>
          <w:szCs w:val="22"/>
          <w:lang w:eastAsia="x-none"/>
        </w:rPr>
      </w:pPr>
      <w:r w:rsidRPr="00B93529">
        <w:rPr>
          <w:b/>
          <w:sz w:val="20"/>
        </w:rPr>
        <w:t xml:space="preserve">                        </w:t>
      </w:r>
    </w:p>
    <w:p w14:paraId="2DDF3D19" w14:textId="77777777" w:rsidR="006D6145" w:rsidRPr="00B93529" w:rsidRDefault="006D6145" w:rsidP="006D6145">
      <w:pPr>
        <w:ind w:right="36"/>
        <w:jc w:val="center"/>
        <w:rPr>
          <w:rFonts w:cs="Times New Roman"/>
          <w:sz w:val="20"/>
          <w:lang w:val="x-none" w:eastAsia="x-none"/>
        </w:rPr>
      </w:pPr>
    </w:p>
    <w:p w14:paraId="6837B448" w14:textId="77777777" w:rsidR="006D6145" w:rsidRPr="00B93529" w:rsidRDefault="006D6145" w:rsidP="006D6145">
      <w:pPr>
        <w:suppressAutoHyphens/>
        <w:ind w:left="720" w:hanging="720"/>
        <w:jc w:val="both"/>
        <w:rPr>
          <w:sz w:val="22"/>
          <w:szCs w:val="22"/>
        </w:rPr>
      </w:pPr>
      <w:r w:rsidRPr="00B93529">
        <w:rPr>
          <w:sz w:val="22"/>
          <w:szCs w:val="22"/>
        </w:rPr>
        <w:sym w:font="Wingdings" w:char="F06F"/>
      </w:r>
      <w:r w:rsidRPr="00B93529">
        <w:rPr>
          <w:sz w:val="22"/>
          <w:szCs w:val="22"/>
        </w:rPr>
        <w:tab/>
        <w:t>By checking this box,</w:t>
      </w:r>
      <w:r>
        <w:rPr>
          <w:sz w:val="22"/>
          <w:szCs w:val="22"/>
        </w:rPr>
        <w:t xml:space="preserve"> the </w:t>
      </w:r>
      <w:r w:rsidR="009B53F8">
        <w:rPr>
          <w:sz w:val="22"/>
          <w:szCs w:val="22"/>
        </w:rPr>
        <w:t>V</w:t>
      </w:r>
      <w:r>
        <w:rPr>
          <w:sz w:val="22"/>
          <w:szCs w:val="22"/>
        </w:rPr>
        <w:t>endor acknowledges that its proposal does not contain any</w:t>
      </w:r>
      <w:r w:rsidRPr="00B93529">
        <w:rPr>
          <w:sz w:val="22"/>
          <w:szCs w:val="22"/>
        </w:rPr>
        <w:t xml:space="preserve"> information </w:t>
      </w:r>
      <w:r>
        <w:rPr>
          <w:sz w:val="22"/>
          <w:szCs w:val="22"/>
        </w:rPr>
        <w:t>it</w:t>
      </w:r>
      <w:r w:rsidRPr="00B93529">
        <w:rPr>
          <w:sz w:val="22"/>
          <w:szCs w:val="22"/>
        </w:rPr>
        <w:t xml:space="preserve"> declare</w:t>
      </w:r>
      <w:r>
        <w:rPr>
          <w:sz w:val="22"/>
          <w:szCs w:val="22"/>
        </w:rPr>
        <w:t>s</w:t>
      </w:r>
      <w:r w:rsidRPr="00B93529">
        <w:rPr>
          <w:sz w:val="22"/>
          <w:szCs w:val="22"/>
        </w:rPr>
        <w:t xml:space="preserve"> to be confidential or proprietary for the purpose of production under 29 Del</w:t>
      </w:r>
      <w:r>
        <w:rPr>
          <w:sz w:val="22"/>
          <w:szCs w:val="22"/>
        </w:rPr>
        <w:t>aware</w:t>
      </w:r>
      <w:r w:rsidRPr="00B93529">
        <w:rPr>
          <w:sz w:val="22"/>
          <w:szCs w:val="22"/>
        </w:rPr>
        <w:t xml:space="preserve"> C</w:t>
      </w:r>
      <w:r>
        <w:rPr>
          <w:sz w:val="22"/>
          <w:szCs w:val="22"/>
        </w:rPr>
        <w:t>ode, Chapter</w:t>
      </w:r>
      <w:r w:rsidRPr="00B93529">
        <w:rPr>
          <w:sz w:val="22"/>
          <w:szCs w:val="22"/>
        </w:rPr>
        <w:t xml:space="preserve"> 100, Delaware Freedom of Information Act.</w:t>
      </w:r>
    </w:p>
    <w:p w14:paraId="3C0C23F2" w14:textId="77777777" w:rsidR="006D6145" w:rsidRPr="00B93529" w:rsidRDefault="006D6145" w:rsidP="006D6145">
      <w:pPr>
        <w:suppressAutoHyphens/>
        <w:spacing w:line="240" w:lineRule="atLeast"/>
        <w:ind w:left="720" w:hanging="720"/>
        <w:rPr>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D6145" w:rsidRPr="00B93529" w14:paraId="7C07604D" w14:textId="77777777" w:rsidTr="00F6123F">
        <w:tc>
          <w:tcPr>
            <w:tcW w:w="8954" w:type="dxa"/>
          </w:tcPr>
          <w:p w14:paraId="38CBC312" w14:textId="77777777" w:rsidR="006D6145" w:rsidRPr="00B93529" w:rsidRDefault="006D6145" w:rsidP="00F6123F">
            <w:pPr>
              <w:suppressAutoHyphens/>
              <w:spacing w:line="240" w:lineRule="atLeast"/>
              <w:jc w:val="center"/>
              <w:rPr>
                <w:b/>
                <w:spacing w:val="-3"/>
                <w:sz w:val="22"/>
              </w:rPr>
            </w:pPr>
            <w:r w:rsidRPr="00B93529">
              <w:rPr>
                <w:b/>
                <w:spacing w:val="-3"/>
                <w:sz w:val="22"/>
              </w:rPr>
              <w:t xml:space="preserve">Confidentiality </w:t>
            </w:r>
            <w:r>
              <w:rPr>
                <w:b/>
                <w:spacing w:val="-3"/>
                <w:sz w:val="22"/>
              </w:rPr>
              <w:t>or</w:t>
            </w:r>
            <w:r w:rsidRPr="00B93529">
              <w:rPr>
                <w:b/>
                <w:spacing w:val="-3"/>
                <w:sz w:val="22"/>
              </w:rPr>
              <w:t xml:space="preserve"> Proprietary Information</w:t>
            </w:r>
          </w:p>
        </w:tc>
      </w:tr>
      <w:tr w:rsidR="006D6145" w:rsidRPr="00B93529" w14:paraId="75B2FC0D" w14:textId="77777777" w:rsidTr="00F6123F">
        <w:tc>
          <w:tcPr>
            <w:tcW w:w="8954" w:type="dxa"/>
          </w:tcPr>
          <w:p w14:paraId="42067736" w14:textId="77777777" w:rsidR="006D6145" w:rsidRPr="00B93529" w:rsidRDefault="006D6145" w:rsidP="00F6123F">
            <w:pPr>
              <w:suppressAutoHyphens/>
              <w:spacing w:line="240" w:lineRule="atLeast"/>
              <w:jc w:val="center"/>
              <w:rPr>
                <w:b/>
                <w:spacing w:val="-3"/>
                <w:sz w:val="22"/>
              </w:rPr>
            </w:pPr>
          </w:p>
          <w:p w14:paraId="0D183B98" w14:textId="77777777" w:rsidR="006D6145" w:rsidRPr="00B93529" w:rsidRDefault="006D6145" w:rsidP="00F6123F">
            <w:pPr>
              <w:suppressAutoHyphens/>
              <w:spacing w:line="240" w:lineRule="atLeast"/>
              <w:jc w:val="center"/>
              <w:rPr>
                <w:b/>
                <w:spacing w:val="-3"/>
                <w:sz w:val="22"/>
              </w:rPr>
            </w:pPr>
          </w:p>
        </w:tc>
      </w:tr>
      <w:tr w:rsidR="006D6145" w:rsidRPr="00B93529" w14:paraId="07007DB4" w14:textId="77777777" w:rsidTr="00F6123F">
        <w:tc>
          <w:tcPr>
            <w:tcW w:w="8954" w:type="dxa"/>
          </w:tcPr>
          <w:p w14:paraId="6E7C63A6" w14:textId="77777777" w:rsidR="006D6145" w:rsidRPr="00B93529" w:rsidRDefault="006D6145" w:rsidP="00F6123F">
            <w:pPr>
              <w:suppressAutoHyphens/>
              <w:spacing w:line="240" w:lineRule="atLeast"/>
              <w:jc w:val="center"/>
              <w:rPr>
                <w:b/>
                <w:spacing w:val="-3"/>
                <w:sz w:val="22"/>
              </w:rPr>
            </w:pPr>
          </w:p>
          <w:p w14:paraId="3507CAEC" w14:textId="77777777" w:rsidR="006D6145" w:rsidRPr="00B93529" w:rsidRDefault="006D6145" w:rsidP="00F6123F">
            <w:pPr>
              <w:suppressAutoHyphens/>
              <w:spacing w:line="240" w:lineRule="atLeast"/>
              <w:jc w:val="center"/>
              <w:rPr>
                <w:b/>
                <w:spacing w:val="-3"/>
                <w:sz w:val="22"/>
              </w:rPr>
            </w:pPr>
          </w:p>
        </w:tc>
      </w:tr>
      <w:tr w:rsidR="006D6145" w:rsidRPr="00B93529" w14:paraId="1E6F880B" w14:textId="77777777" w:rsidTr="00F6123F">
        <w:tc>
          <w:tcPr>
            <w:tcW w:w="8954" w:type="dxa"/>
          </w:tcPr>
          <w:p w14:paraId="38E31E2F" w14:textId="77777777" w:rsidR="006D6145" w:rsidRPr="00B93529" w:rsidRDefault="006D6145" w:rsidP="00F6123F">
            <w:pPr>
              <w:suppressAutoHyphens/>
              <w:spacing w:line="240" w:lineRule="atLeast"/>
              <w:jc w:val="center"/>
              <w:rPr>
                <w:b/>
                <w:spacing w:val="-3"/>
                <w:sz w:val="22"/>
              </w:rPr>
            </w:pPr>
          </w:p>
          <w:p w14:paraId="7C09C8F6" w14:textId="77777777" w:rsidR="006D6145" w:rsidRPr="00B93529" w:rsidRDefault="006D6145" w:rsidP="00F6123F">
            <w:pPr>
              <w:suppressAutoHyphens/>
              <w:spacing w:line="240" w:lineRule="atLeast"/>
              <w:jc w:val="center"/>
              <w:rPr>
                <w:b/>
                <w:spacing w:val="-3"/>
                <w:sz w:val="22"/>
              </w:rPr>
            </w:pPr>
          </w:p>
        </w:tc>
      </w:tr>
      <w:tr w:rsidR="006D6145" w:rsidRPr="00B93529" w14:paraId="6AE13E24" w14:textId="77777777" w:rsidTr="00F6123F">
        <w:tc>
          <w:tcPr>
            <w:tcW w:w="8954" w:type="dxa"/>
          </w:tcPr>
          <w:p w14:paraId="37C2DF72" w14:textId="77777777" w:rsidR="006D6145" w:rsidRPr="00B93529" w:rsidRDefault="006D6145" w:rsidP="00F6123F">
            <w:pPr>
              <w:suppressAutoHyphens/>
              <w:spacing w:line="240" w:lineRule="atLeast"/>
              <w:jc w:val="center"/>
              <w:rPr>
                <w:b/>
                <w:spacing w:val="-3"/>
                <w:sz w:val="22"/>
              </w:rPr>
            </w:pPr>
          </w:p>
          <w:p w14:paraId="4A02DCE6" w14:textId="77777777" w:rsidR="006D6145" w:rsidRPr="00B93529" w:rsidRDefault="006D6145" w:rsidP="00F6123F">
            <w:pPr>
              <w:suppressAutoHyphens/>
              <w:spacing w:line="240" w:lineRule="atLeast"/>
              <w:jc w:val="center"/>
              <w:rPr>
                <w:b/>
                <w:spacing w:val="-3"/>
                <w:sz w:val="22"/>
              </w:rPr>
            </w:pPr>
          </w:p>
        </w:tc>
      </w:tr>
      <w:tr w:rsidR="006D6145" w:rsidRPr="00B93529" w14:paraId="5BC47899" w14:textId="77777777" w:rsidTr="00F6123F">
        <w:tc>
          <w:tcPr>
            <w:tcW w:w="8954" w:type="dxa"/>
          </w:tcPr>
          <w:p w14:paraId="5E19DC12" w14:textId="77777777" w:rsidR="006D6145" w:rsidRPr="00B93529" w:rsidRDefault="006D6145" w:rsidP="00F6123F">
            <w:pPr>
              <w:suppressAutoHyphens/>
              <w:spacing w:line="240" w:lineRule="atLeast"/>
              <w:jc w:val="center"/>
              <w:rPr>
                <w:b/>
                <w:spacing w:val="-3"/>
                <w:sz w:val="22"/>
              </w:rPr>
            </w:pPr>
          </w:p>
          <w:p w14:paraId="211C7515" w14:textId="77777777" w:rsidR="006D6145" w:rsidRPr="00B93529" w:rsidRDefault="006D6145" w:rsidP="00F6123F">
            <w:pPr>
              <w:suppressAutoHyphens/>
              <w:spacing w:line="240" w:lineRule="atLeast"/>
              <w:jc w:val="center"/>
              <w:rPr>
                <w:b/>
                <w:spacing w:val="-3"/>
                <w:sz w:val="22"/>
              </w:rPr>
            </w:pPr>
          </w:p>
        </w:tc>
      </w:tr>
      <w:tr w:rsidR="006D6145" w:rsidRPr="00B93529" w14:paraId="4DFC98A7" w14:textId="77777777" w:rsidTr="00F6123F">
        <w:tc>
          <w:tcPr>
            <w:tcW w:w="8954" w:type="dxa"/>
          </w:tcPr>
          <w:p w14:paraId="1B537AD9" w14:textId="77777777" w:rsidR="006D6145" w:rsidRPr="00B93529" w:rsidRDefault="006D6145" w:rsidP="00F6123F">
            <w:pPr>
              <w:suppressAutoHyphens/>
              <w:spacing w:line="240" w:lineRule="atLeast"/>
              <w:jc w:val="center"/>
              <w:rPr>
                <w:b/>
                <w:spacing w:val="-3"/>
                <w:sz w:val="22"/>
              </w:rPr>
            </w:pPr>
          </w:p>
          <w:p w14:paraId="6C9C9492" w14:textId="77777777" w:rsidR="006D6145" w:rsidRPr="00B93529" w:rsidRDefault="006D6145" w:rsidP="00F6123F">
            <w:pPr>
              <w:suppressAutoHyphens/>
              <w:spacing w:line="240" w:lineRule="atLeast"/>
              <w:jc w:val="center"/>
              <w:rPr>
                <w:b/>
                <w:spacing w:val="-3"/>
                <w:sz w:val="22"/>
              </w:rPr>
            </w:pPr>
          </w:p>
        </w:tc>
      </w:tr>
      <w:tr w:rsidR="006D6145" w:rsidRPr="00B93529" w14:paraId="1B80ADCA" w14:textId="77777777" w:rsidTr="00F6123F">
        <w:tc>
          <w:tcPr>
            <w:tcW w:w="8954" w:type="dxa"/>
          </w:tcPr>
          <w:p w14:paraId="6E7922FF" w14:textId="77777777" w:rsidR="006D6145" w:rsidRPr="00B93529" w:rsidRDefault="006D6145" w:rsidP="00F6123F">
            <w:pPr>
              <w:suppressAutoHyphens/>
              <w:spacing w:line="240" w:lineRule="atLeast"/>
              <w:jc w:val="center"/>
              <w:rPr>
                <w:b/>
                <w:spacing w:val="-3"/>
                <w:sz w:val="22"/>
              </w:rPr>
            </w:pPr>
          </w:p>
          <w:p w14:paraId="384072CB" w14:textId="77777777" w:rsidR="006D6145" w:rsidRPr="00B93529" w:rsidRDefault="006D6145" w:rsidP="00F6123F">
            <w:pPr>
              <w:suppressAutoHyphens/>
              <w:spacing w:line="240" w:lineRule="atLeast"/>
              <w:jc w:val="center"/>
              <w:rPr>
                <w:b/>
                <w:spacing w:val="-3"/>
                <w:sz w:val="22"/>
              </w:rPr>
            </w:pPr>
          </w:p>
        </w:tc>
      </w:tr>
      <w:tr w:rsidR="006D6145" w:rsidRPr="00B93529" w14:paraId="5A5854AA" w14:textId="77777777" w:rsidTr="00F6123F">
        <w:tc>
          <w:tcPr>
            <w:tcW w:w="8954" w:type="dxa"/>
          </w:tcPr>
          <w:p w14:paraId="3297E245" w14:textId="77777777" w:rsidR="006D6145" w:rsidRPr="00B93529" w:rsidRDefault="006D6145" w:rsidP="00F6123F">
            <w:pPr>
              <w:suppressAutoHyphens/>
              <w:spacing w:line="240" w:lineRule="atLeast"/>
              <w:jc w:val="center"/>
              <w:rPr>
                <w:b/>
                <w:spacing w:val="-3"/>
                <w:sz w:val="22"/>
              </w:rPr>
            </w:pPr>
          </w:p>
          <w:p w14:paraId="07D03A46" w14:textId="77777777" w:rsidR="006D6145" w:rsidRPr="00B93529" w:rsidRDefault="006D6145" w:rsidP="00F6123F">
            <w:pPr>
              <w:suppressAutoHyphens/>
              <w:spacing w:line="240" w:lineRule="atLeast"/>
              <w:jc w:val="center"/>
              <w:rPr>
                <w:b/>
                <w:spacing w:val="-3"/>
                <w:sz w:val="22"/>
              </w:rPr>
            </w:pPr>
          </w:p>
        </w:tc>
      </w:tr>
      <w:tr w:rsidR="006D6145" w:rsidRPr="00B93529" w14:paraId="210A0A30" w14:textId="77777777" w:rsidTr="00F6123F">
        <w:tc>
          <w:tcPr>
            <w:tcW w:w="8954" w:type="dxa"/>
          </w:tcPr>
          <w:p w14:paraId="09B4D14E" w14:textId="77777777" w:rsidR="006D6145" w:rsidRPr="00B93529" w:rsidRDefault="006D6145" w:rsidP="00F6123F">
            <w:pPr>
              <w:suppressAutoHyphens/>
              <w:spacing w:line="240" w:lineRule="atLeast"/>
              <w:jc w:val="center"/>
              <w:rPr>
                <w:b/>
                <w:spacing w:val="-3"/>
                <w:sz w:val="22"/>
              </w:rPr>
            </w:pPr>
          </w:p>
          <w:p w14:paraId="78CE651D" w14:textId="77777777" w:rsidR="006D6145" w:rsidRPr="00B93529" w:rsidRDefault="006D6145" w:rsidP="00F6123F">
            <w:pPr>
              <w:suppressAutoHyphens/>
              <w:spacing w:line="240" w:lineRule="atLeast"/>
              <w:jc w:val="center"/>
              <w:rPr>
                <w:b/>
                <w:spacing w:val="-3"/>
                <w:sz w:val="22"/>
              </w:rPr>
            </w:pPr>
          </w:p>
        </w:tc>
      </w:tr>
      <w:tr w:rsidR="006D6145" w:rsidRPr="00B93529" w14:paraId="37D25F66" w14:textId="77777777" w:rsidTr="00F6123F">
        <w:tc>
          <w:tcPr>
            <w:tcW w:w="8954" w:type="dxa"/>
          </w:tcPr>
          <w:p w14:paraId="1935A8A2" w14:textId="77777777" w:rsidR="006D6145" w:rsidRPr="00B93529" w:rsidRDefault="006D6145" w:rsidP="00F6123F">
            <w:pPr>
              <w:suppressAutoHyphens/>
              <w:spacing w:line="240" w:lineRule="atLeast"/>
              <w:jc w:val="center"/>
              <w:rPr>
                <w:b/>
                <w:spacing w:val="-3"/>
                <w:sz w:val="22"/>
              </w:rPr>
            </w:pPr>
          </w:p>
          <w:p w14:paraId="3A93167C" w14:textId="77777777" w:rsidR="006D6145" w:rsidRPr="00B93529" w:rsidRDefault="006D6145" w:rsidP="00F6123F">
            <w:pPr>
              <w:suppressAutoHyphens/>
              <w:spacing w:line="240" w:lineRule="atLeast"/>
              <w:jc w:val="center"/>
              <w:rPr>
                <w:b/>
                <w:spacing w:val="-3"/>
                <w:sz w:val="22"/>
              </w:rPr>
            </w:pPr>
          </w:p>
        </w:tc>
      </w:tr>
      <w:tr w:rsidR="006D6145" w:rsidRPr="00B93529" w14:paraId="63CB4F89" w14:textId="77777777" w:rsidTr="00F6123F">
        <w:tc>
          <w:tcPr>
            <w:tcW w:w="8954" w:type="dxa"/>
          </w:tcPr>
          <w:p w14:paraId="1CA2A96B" w14:textId="77777777" w:rsidR="006D6145" w:rsidRPr="00B93529" w:rsidRDefault="006D6145" w:rsidP="00F6123F">
            <w:pPr>
              <w:suppressAutoHyphens/>
              <w:spacing w:line="240" w:lineRule="atLeast"/>
              <w:jc w:val="center"/>
              <w:rPr>
                <w:b/>
                <w:spacing w:val="-3"/>
                <w:sz w:val="22"/>
              </w:rPr>
            </w:pPr>
          </w:p>
          <w:p w14:paraId="274A2DC9" w14:textId="77777777" w:rsidR="006D6145" w:rsidRPr="00B93529" w:rsidRDefault="006D6145" w:rsidP="00F6123F">
            <w:pPr>
              <w:suppressAutoHyphens/>
              <w:spacing w:line="240" w:lineRule="atLeast"/>
              <w:jc w:val="center"/>
              <w:rPr>
                <w:b/>
                <w:spacing w:val="-3"/>
                <w:sz w:val="22"/>
              </w:rPr>
            </w:pPr>
          </w:p>
        </w:tc>
      </w:tr>
      <w:tr w:rsidR="006D6145" w:rsidRPr="00B93529" w14:paraId="032FFE9E" w14:textId="77777777" w:rsidTr="00F6123F">
        <w:tc>
          <w:tcPr>
            <w:tcW w:w="8954" w:type="dxa"/>
          </w:tcPr>
          <w:p w14:paraId="09B71A9B" w14:textId="77777777" w:rsidR="006D6145" w:rsidRPr="00B93529" w:rsidRDefault="006D6145" w:rsidP="00F6123F">
            <w:pPr>
              <w:suppressAutoHyphens/>
              <w:spacing w:line="240" w:lineRule="atLeast"/>
              <w:jc w:val="center"/>
              <w:rPr>
                <w:b/>
                <w:spacing w:val="-3"/>
                <w:sz w:val="22"/>
              </w:rPr>
            </w:pPr>
          </w:p>
          <w:p w14:paraId="50846BFF" w14:textId="77777777" w:rsidR="006D6145" w:rsidRPr="00B93529" w:rsidRDefault="006D6145" w:rsidP="00F6123F">
            <w:pPr>
              <w:suppressAutoHyphens/>
              <w:spacing w:line="240" w:lineRule="atLeast"/>
              <w:jc w:val="center"/>
              <w:rPr>
                <w:b/>
                <w:spacing w:val="-3"/>
                <w:sz w:val="22"/>
              </w:rPr>
            </w:pPr>
          </w:p>
        </w:tc>
      </w:tr>
      <w:tr w:rsidR="006D6145" w:rsidRPr="00B93529" w14:paraId="0CF998F3" w14:textId="77777777" w:rsidTr="00F6123F">
        <w:tc>
          <w:tcPr>
            <w:tcW w:w="8954" w:type="dxa"/>
          </w:tcPr>
          <w:p w14:paraId="634792DE" w14:textId="77777777" w:rsidR="006D6145" w:rsidRPr="00B93529" w:rsidRDefault="006D6145" w:rsidP="00F6123F">
            <w:pPr>
              <w:suppressAutoHyphens/>
              <w:spacing w:line="240" w:lineRule="atLeast"/>
              <w:jc w:val="center"/>
              <w:rPr>
                <w:b/>
                <w:spacing w:val="-3"/>
                <w:sz w:val="22"/>
              </w:rPr>
            </w:pPr>
          </w:p>
          <w:p w14:paraId="4BDA3394" w14:textId="77777777" w:rsidR="006D6145" w:rsidRPr="00B93529" w:rsidRDefault="006D6145" w:rsidP="00F6123F">
            <w:pPr>
              <w:suppressAutoHyphens/>
              <w:spacing w:line="240" w:lineRule="atLeast"/>
              <w:jc w:val="center"/>
              <w:rPr>
                <w:b/>
                <w:spacing w:val="-3"/>
                <w:sz w:val="22"/>
              </w:rPr>
            </w:pPr>
          </w:p>
        </w:tc>
      </w:tr>
      <w:tr w:rsidR="006D6145" w:rsidRPr="00B93529" w14:paraId="235A589C" w14:textId="77777777" w:rsidTr="00F6123F">
        <w:tc>
          <w:tcPr>
            <w:tcW w:w="8954" w:type="dxa"/>
          </w:tcPr>
          <w:p w14:paraId="5E6D5022" w14:textId="77777777" w:rsidR="006D6145" w:rsidRPr="00B93529" w:rsidRDefault="006D6145" w:rsidP="00F6123F">
            <w:pPr>
              <w:suppressAutoHyphens/>
              <w:spacing w:line="240" w:lineRule="atLeast"/>
              <w:jc w:val="center"/>
              <w:rPr>
                <w:b/>
                <w:spacing w:val="-3"/>
                <w:sz w:val="22"/>
              </w:rPr>
            </w:pPr>
          </w:p>
          <w:p w14:paraId="22A8087D" w14:textId="77777777" w:rsidR="006D6145" w:rsidRPr="00B93529" w:rsidRDefault="006D6145" w:rsidP="00F6123F">
            <w:pPr>
              <w:suppressAutoHyphens/>
              <w:spacing w:line="240" w:lineRule="atLeast"/>
              <w:jc w:val="center"/>
              <w:rPr>
                <w:b/>
                <w:spacing w:val="-3"/>
                <w:sz w:val="22"/>
              </w:rPr>
            </w:pPr>
          </w:p>
        </w:tc>
      </w:tr>
      <w:tr w:rsidR="006D6145" w:rsidRPr="00B93529" w14:paraId="27C67AB3" w14:textId="77777777" w:rsidTr="00F6123F">
        <w:tc>
          <w:tcPr>
            <w:tcW w:w="8954" w:type="dxa"/>
          </w:tcPr>
          <w:p w14:paraId="5C063129" w14:textId="77777777" w:rsidR="006D6145" w:rsidRPr="00B93529" w:rsidRDefault="006D6145" w:rsidP="00F6123F">
            <w:pPr>
              <w:suppressAutoHyphens/>
              <w:spacing w:line="240" w:lineRule="atLeast"/>
              <w:jc w:val="center"/>
              <w:rPr>
                <w:b/>
                <w:spacing w:val="-3"/>
                <w:sz w:val="22"/>
              </w:rPr>
            </w:pPr>
          </w:p>
          <w:p w14:paraId="7498DF96" w14:textId="77777777" w:rsidR="006D6145" w:rsidRPr="00B93529" w:rsidRDefault="006D6145" w:rsidP="00F6123F">
            <w:pPr>
              <w:suppressAutoHyphens/>
              <w:spacing w:line="240" w:lineRule="atLeast"/>
              <w:jc w:val="center"/>
              <w:rPr>
                <w:b/>
                <w:spacing w:val="-3"/>
                <w:sz w:val="22"/>
              </w:rPr>
            </w:pPr>
          </w:p>
        </w:tc>
      </w:tr>
      <w:tr w:rsidR="006D6145" w:rsidRPr="00B93529" w14:paraId="0B50A1DC" w14:textId="77777777" w:rsidTr="00F6123F">
        <w:tc>
          <w:tcPr>
            <w:tcW w:w="8954" w:type="dxa"/>
          </w:tcPr>
          <w:p w14:paraId="045DEC96" w14:textId="77777777" w:rsidR="006D6145" w:rsidRPr="00B93529" w:rsidRDefault="006D6145" w:rsidP="00F6123F">
            <w:pPr>
              <w:suppressAutoHyphens/>
              <w:spacing w:line="240" w:lineRule="atLeast"/>
              <w:jc w:val="center"/>
              <w:rPr>
                <w:b/>
                <w:spacing w:val="-3"/>
                <w:sz w:val="22"/>
              </w:rPr>
            </w:pPr>
          </w:p>
          <w:p w14:paraId="2249FBE1" w14:textId="77777777" w:rsidR="006D6145" w:rsidRPr="00B93529" w:rsidRDefault="006D6145" w:rsidP="00F6123F">
            <w:pPr>
              <w:suppressAutoHyphens/>
              <w:spacing w:line="240" w:lineRule="atLeast"/>
              <w:jc w:val="center"/>
              <w:rPr>
                <w:b/>
                <w:spacing w:val="-3"/>
                <w:sz w:val="22"/>
              </w:rPr>
            </w:pPr>
          </w:p>
        </w:tc>
      </w:tr>
    </w:tbl>
    <w:p w14:paraId="2F5E3476" w14:textId="77777777" w:rsidR="006D6145" w:rsidRPr="00B93529" w:rsidRDefault="006D6145" w:rsidP="006D6145">
      <w:pPr>
        <w:suppressAutoHyphens/>
        <w:spacing w:line="240" w:lineRule="atLeast"/>
        <w:rPr>
          <w:b/>
          <w:spacing w:val="-3"/>
          <w:sz w:val="22"/>
        </w:rPr>
      </w:pPr>
    </w:p>
    <w:p w14:paraId="4C0F6DE8" w14:textId="77777777" w:rsidR="006D6145" w:rsidRPr="00B93529" w:rsidRDefault="006D6145" w:rsidP="006D6145">
      <w:pPr>
        <w:suppressAutoHyphens/>
        <w:spacing w:line="240" w:lineRule="atLeast"/>
        <w:ind w:hanging="180"/>
        <w:rPr>
          <w:b/>
          <w:spacing w:val="-3"/>
          <w:sz w:val="22"/>
        </w:rPr>
      </w:pPr>
      <w:r w:rsidRPr="00B93529">
        <w:rPr>
          <w:b/>
          <w:spacing w:val="-3"/>
          <w:sz w:val="22"/>
        </w:rPr>
        <w:t>Note: Use additional pages as necessary.</w:t>
      </w:r>
    </w:p>
    <w:p w14:paraId="06F82B5C" w14:textId="77777777" w:rsidR="006D6145" w:rsidRDefault="006D6145" w:rsidP="006D6145">
      <w:pPr>
        <w:rPr>
          <w:rFonts w:cs="Times New Roman"/>
          <w:b/>
          <w:spacing w:val="-3"/>
          <w:sz w:val="22"/>
          <w:lang w:val="x-none" w:eastAsia="x-none"/>
        </w:rPr>
      </w:pPr>
      <w:r w:rsidRPr="00B93529">
        <w:rPr>
          <w:rFonts w:cs="Times New Roman"/>
          <w:b/>
          <w:spacing w:val="-3"/>
          <w:sz w:val="22"/>
          <w:lang w:val="x-none" w:eastAsia="x-none"/>
        </w:rPr>
        <w:br w:type="page"/>
      </w:r>
    </w:p>
    <w:p w14:paraId="79A4263C" w14:textId="77777777" w:rsidR="00F96D03" w:rsidRDefault="00F96D03" w:rsidP="00F96D03">
      <w:pPr>
        <w:pStyle w:val="Heading4"/>
      </w:pPr>
      <w:r>
        <w:t xml:space="preserve">Attachment </w:t>
      </w:r>
      <w:r w:rsidR="00B6771F">
        <w:t>4</w:t>
      </w:r>
      <w:r>
        <w:t xml:space="preserve">: </w:t>
      </w:r>
      <w:r w:rsidR="006E4B2B">
        <w:t xml:space="preserve"> </w:t>
      </w:r>
      <w:r>
        <w:t>Schedule of Fees</w:t>
      </w:r>
    </w:p>
    <w:p w14:paraId="295BC662" w14:textId="77777777" w:rsidR="00F96D03" w:rsidRDefault="00F96D03" w:rsidP="00F96D03">
      <w:r w:rsidRPr="00F41FBE">
        <w:rPr>
          <w:sz w:val="20"/>
          <w:szCs w:val="20"/>
        </w:rPr>
        <w:t xml:space="preserve">CONTRACT NUMBER:  </w:t>
      </w:r>
      <w:r w:rsidR="001749D2" w:rsidRPr="00CC34E6">
        <w:rPr>
          <w:sz w:val="20"/>
          <w:szCs w:val="20"/>
        </w:rPr>
        <w:t>TRE19202-LOCALBANKS</w:t>
      </w:r>
    </w:p>
    <w:p w14:paraId="40D6575F" w14:textId="77777777" w:rsidR="00F96D03" w:rsidRDefault="00F96D03" w:rsidP="00F96D03"/>
    <w:p w14:paraId="79E2B312" w14:textId="77777777" w:rsidR="00F96D03" w:rsidRPr="003D54C7" w:rsidRDefault="00F96D03" w:rsidP="00F96D03">
      <w:pPr>
        <w:rPr>
          <w:sz w:val="22"/>
          <w:szCs w:val="22"/>
        </w:rPr>
      </w:pPr>
      <w:r w:rsidRPr="003D54C7">
        <w:rPr>
          <w:sz w:val="22"/>
          <w:szCs w:val="22"/>
        </w:rPr>
        <w:t>Please complete excel file entitled Pro Forma Schedule of Fees attached to this document.</w:t>
      </w:r>
    </w:p>
    <w:p w14:paraId="08FCB865" w14:textId="77777777" w:rsidR="00F96D03" w:rsidRPr="003D54C7" w:rsidRDefault="00F96D03" w:rsidP="00F96D03">
      <w:pPr>
        <w:rPr>
          <w:sz w:val="22"/>
          <w:szCs w:val="22"/>
        </w:rPr>
      </w:pPr>
    </w:p>
    <w:p w14:paraId="623AC219" w14:textId="77777777" w:rsidR="00F96D03" w:rsidRPr="003D54C7" w:rsidRDefault="00F96D03" w:rsidP="00F96D03">
      <w:pPr>
        <w:rPr>
          <w:sz w:val="22"/>
          <w:szCs w:val="22"/>
        </w:rPr>
      </w:pPr>
    </w:p>
    <w:p w14:paraId="033516E5" w14:textId="77777777" w:rsidR="00F96D03" w:rsidRPr="003D54C7" w:rsidRDefault="00F96D03" w:rsidP="00F96D03">
      <w:pPr>
        <w:rPr>
          <w:sz w:val="22"/>
          <w:szCs w:val="22"/>
        </w:rPr>
      </w:pPr>
    </w:p>
    <w:p w14:paraId="26BC128E" w14:textId="77777777" w:rsidR="00F96D03" w:rsidRPr="003D54C7" w:rsidRDefault="00F96D03" w:rsidP="00F96D03">
      <w:pPr>
        <w:rPr>
          <w:sz w:val="22"/>
          <w:szCs w:val="22"/>
        </w:rPr>
      </w:pPr>
    </w:p>
    <w:p w14:paraId="18209062" w14:textId="77777777" w:rsidR="00F96D03" w:rsidRPr="003D54C7" w:rsidRDefault="00F96D03" w:rsidP="00F96D03">
      <w:pPr>
        <w:rPr>
          <w:sz w:val="22"/>
          <w:szCs w:val="22"/>
        </w:rPr>
      </w:pPr>
    </w:p>
    <w:p w14:paraId="344FABF6" w14:textId="77777777" w:rsidR="00F96D03" w:rsidRPr="003D54C7" w:rsidRDefault="00F96D03" w:rsidP="00F96D03">
      <w:pPr>
        <w:rPr>
          <w:rFonts w:ascii="Arial Black" w:hAnsi="Arial Black"/>
          <w:b/>
          <w:sz w:val="22"/>
          <w:szCs w:val="22"/>
        </w:rPr>
      </w:pPr>
      <w:r w:rsidRPr="003D54C7">
        <w:rPr>
          <w:sz w:val="22"/>
          <w:szCs w:val="22"/>
        </w:rPr>
        <w:t>The remainder of this page intentionally left blank</w:t>
      </w:r>
      <w:r w:rsidR="002A380A">
        <w:rPr>
          <w:sz w:val="22"/>
          <w:szCs w:val="22"/>
        </w:rPr>
        <w:t>.</w:t>
      </w:r>
    </w:p>
    <w:p w14:paraId="6F84C439" w14:textId="77777777" w:rsidR="00F96D03" w:rsidRPr="003D54C7" w:rsidRDefault="00F96D03">
      <w:pPr>
        <w:rPr>
          <w:rFonts w:ascii="Arial Black" w:hAnsi="Arial Black"/>
          <w:b/>
          <w:sz w:val="22"/>
          <w:szCs w:val="22"/>
        </w:rPr>
      </w:pPr>
      <w:r w:rsidRPr="003D54C7">
        <w:rPr>
          <w:sz w:val="22"/>
          <w:szCs w:val="22"/>
        </w:rPr>
        <w:br w:type="page"/>
      </w:r>
    </w:p>
    <w:p w14:paraId="53689FF7" w14:textId="77777777" w:rsidR="00F96D03" w:rsidRDefault="00F96D03" w:rsidP="00F96D03">
      <w:pPr>
        <w:pStyle w:val="Heading4"/>
      </w:pPr>
      <w:r>
        <w:t xml:space="preserve">Attachment </w:t>
      </w:r>
      <w:r w:rsidR="00B6771F">
        <w:t>5</w:t>
      </w:r>
      <w:r>
        <w:t>:  Exception Form</w:t>
      </w:r>
    </w:p>
    <w:p w14:paraId="6FCD97E0" w14:textId="77777777" w:rsidR="00F96D03" w:rsidRPr="00F41FBE" w:rsidRDefault="00F96D03" w:rsidP="00F96D03">
      <w:pPr>
        <w:rPr>
          <w:sz w:val="20"/>
          <w:szCs w:val="20"/>
        </w:rPr>
      </w:pPr>
      <w:r w:rsidRPr="00F41FBE">
        <w:rPr>
          <w:sz w:val="20"/>
          <w:szCs w:val="20"/>
        </w:rPr>
        <w:t xml:space="preserve">CONTRACT NUMBER:  </w:t>
      </w:r>
      <w:r w:rsidR="00FE5535" w:rsidRPr="00CC34E6">
        <w:rPr>
          <w:sz w:val="20"/>
          <w:szCs w:val="20"/>
        </w:rPr>
        <w:t>TRE19202-LOCALBANKS</w:t>
      </w:r>
    </w:p>
    <w:p w14:paraId="3D4861B7" w14:textId="77777777" w:rsidR="00F96D03" w:rsidRPr="00B93529" w:rsidRDefault="00F96D03" w:rsidP="00F96D03">
      <w:pPr>
        <w:suppressAutoHyphens/>
        <w:jc w:val="center"/>
        <w:rPr>
          <w:sz w:val="22"/>
          <w:szCs w:val="22"/>
        </w:rPr>
      </w:pPr>
    </w:p>
    <w:p w14:paraId="1CD96E58" w14:textId="77777777" w:rsidR="00F96D03" w:rsidRPr="00B93529" w:rsidRDefault="00F96D03" w:rsidP="00F96D03">
      <w:pPr>
        <w:suppressAutoHyphens/>
        <w:jc w:val="both"/>
        <w:rPr>
          <w:sz w:val="22"/>
          <w:szCs w:val="22"/>
        </w:rPr>
      </w:pPr>
      <w:r w:rsidRPr="00B93529">
        <w:rPr>
          <w:sz w:val="22"/>
          <w:szCs w:val="22"/>
        </w:rPr>
        <w:t>Proposals must include all exceptions to the specifications, terms or conditions c</w:t>
      </w:r>
      <w:r>
        <w:rPr>
          <w:sz w:val="22"/>
          <w:szCs w:val="22"/>
        </w:rPr>
        <w:t xml:space="preserve">ontained in this solicitation. </w:t>
      </w:r>
      <w:r w:rsidRPr="00B93529">
        <w:rPr>
          <w:sz w:val="22"/>
          <w:szCs w:val="22"/>
        </w:rPr>
        <w:t xml:space="preserve">If the </w:t>
      </w:r>
      <w:r>
        <w:rPr>
          <w:sz w:val="22"/>
          <w:szCs w:val="22"/>
        </w:rPr>
        <w:t>V</w:t>
      </w:r>
      <w:r w:rsidRPr="00B93529">
        <w:rPr>
          <w:sz w:val="22"/>
          <w:szCs w:val="22"/>
        </w:rPr>
        <w:t>endor is submitting the proposal without exceptions, please state so below.</w:t>
      </w:r>
    </w:p>
    <w:p w14:paraId="5C6AD6AC" w14:textId="77777777" w:rsidR="00F96D03" w:rsidRPr="00B93529" w:rsidRDefault="00F96D03" w:rsidP="00F96D03">
      <w:pPr>
        <w:suppressAutoHyphens/>
        <w:rPr>
          <w:sz w:val="22"/>
          <w:szCs w:val="22"/>
        </w:rPr>
      </w:pPr>
    </w:p>
    <w:p w14:paraId="09BA60E0" w14:textId="77777777" w:rsidR="00F96D03" w:rsidRPr="00B93529" w:rsidRDefault="00F96D03" w:rsidP="00F96D03">
      <w:pPr>
        <w:suppressAutoHyphens/>
        <w:ind w:left="720" w:hanging="720"/>
        <w:jc w:val="both"/>
        <w:rPr>
          <w:sz w:val="22"/>
          <w:szCs w:val="22"/>
        </w:rPr>
      </w:pPr>
      <w:r w:rsidRPr="00B93529">
        <w:rPr>
          <w:sz w:val="22"/>
          <w:szCs w:val="22"/>
        </w:rPr>
        <w:sym w:font="Wingdings" w:char="F06F"/>
      </w:r>
      <w:r w:rsidRPr="00B93529">
        <w:rPr>
          <w:sz w:val="22"/>
          <w:szCs w:val="22"/>
        </w:rPr>
        <w:tab/>
        <w:t xml:space="preserve">By checking this box, the </w:t>
      </w:r>
      <w:r>
        <w:rPr>
          <w:sz w:val="22"/>
          <w:szCs w:val="22"/>
        </w:rPr>
        <w:t>V</w:t>
      </w:r>
      <w:r w:rsidRPr="00B93529">
        <w:rPr>
          <w:sz w:val="22"/>
          <w:szCs w:val="22"/>
        </w:rPr>
        <w:t>endor acknowledges that they take no exceptions to the specifications, terms or conditions found in this solicitation.</w:t>
      </w:r>
    </w:p>
    <w:p w14:paraId="4E23236D" w14:textId="77777777" w:rsidR="00F96D03" w:rsidRPr="00B93529" w:rsidRDefault="00F96D03" w:rsidP="00F96D03">
      <w:pPr>
        <w:suppressAutoHyphens/>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892"/>
      </w:tblGrid>
      <w:tr w:rsidR="00F96D03" w:rsidRPr="00B93529" w14:paraId="098A339B" w14:textId="77777777" w:rsidTr="00806774">
        <w:tc>
          <w:tcPr>
            <w:tcW w:w="1692" w:type="dxa"/>
          </w:tcPr>
          <w:p w14:paraId="3512F353" w14:textId="77777777" w:rsidR="00F96D03" w:rsidRPr="00B93529" w:rsidRDefault="00F96D03" w:rsidP="00806774">
            <w:pPr>
              <w:suppressAutoHyphens/>
              <w:jc w:val="center"/>
              <w:rPr>
                <w:b/>
                <w:sz w:val="22"/>
                <w:szCs w:val="22"/>
              </w:rPr>
            </w:pPr>
            <w:r w:rsidRPr="00B93529">
              <w:rPr>
                <w:b/>
                <w:sz w:val="22"/>
                <w:szCs w:val="22"/>
              </w:rPr>
              <w:t>Paragraph # and page #</w:t>
            </w:r>
          </w:p>
        </w:tc>
        <w:tc>
          <w:tcPr>
            <w:tcW w:w="3951" w:type="dxa"/>
          </w:tcPr>
          <w:p w14:paraId="330D921E" w14:textId="77777777" w:rsidR="00F96D03" w:rsidRPr="00B93529" w:rsidRDefault="00F96D03" w:rsidP="00806774">
            <w:pPr>
              <w:suppressAutoHyphens/>
              <w:jc w:val="center"/>
              <w:rPr>
                <w:sz w:val="22"/>
                <w:szCs w:val="22"/>
              </w:rPr>
            </w:pPr>
            <w:r w:rsidRPr="00B93529">
              <w:rPr>
                <w:b/>
                <w:sz w:val="22"/>
                <w:szCs w:val="22"/>
              </w:rPr>
              <w:t xml:space="preserve">Exceptions to Specifications, </w:t>
            </w:r>
            <w:r>
              <w:rPr>
                <w:b/>
                <w:sz w:val="22"/>
                <w:szCs w:val="22"/>
              </w:rPr>
              <w:t xml:space="preserve">  </w:t>
            </w:r>
            <w:r w:rsidRPr="00B93529">
              <w:rPr>
                <w:b/>
                <w:sz w:val="22"/>
                <w:szCs w:val="22"/>
              </w:rPr>
              <w:t>terms or conditions</w:t>
            </w:r>
          </w:p>
        </w:tc>
        <w:tc>
          <w:tcPr>
            <w:tcW w:w="3892" w:type="dxa"/>
          </w:tcPr>
          <w:p w14:paraId="2AAB5002" w14:textId="77777777" w:rsidR="00F96D03" w:rsidRPr="00B93529" w:rsidRDefault="00F96D03" w:rsidP="00806774">
            <w:pPr>
              <w:suppressAutoHyphens/>
              <w:jc w:val="center"/>
              <w:rPr>
                <w:b/>
                <w:sz w:val="22"/>
                <w:szCs w:val="22"/>
              </w:rPr>
            </w:pPr>
          </w:p>
          <w:p w14:paraId="09291EAB" w14:textId="77777777" w:rsidR="00F96D03" w:rsidRPr="00B93529" w:rsidRDefault="00F96D03" w:rsidP="00806774">
            <w:pPr>
              <w:suppressAutoHyphens/>
              <w:jc w:val="center"/>
              <w:rPr>
                <w:b/>
                <w:sz w:val="22"/>
                <w:szCs w:val="22"/>
              </w:rPr>
            </w:pPr>
            <w:r w:rsidRPr="00B93529">
              <w:rPr>
                <w:b/>
                <w:sz w:val="22"/>
                <w:szCs w:val="22"/>
              </w:rPr>
              <w:t>Proposed Alternative</w:t>
            </w:r>
          </w:p>
        </w:tc>
      </w:tr>
      <w:tr w:rsidR="00F96D03" w:rsidRPr="00B93529" w14:paraId="4CB69616" w14:textId="77777777" w:rsidTr="00806774">
        <w:tc>
          <w:tcPr>
            <w:tcW w:w="1692" w:type="dxa"/>
          </w:tcPr>
          <w:p w14:paraId="15EA7E9A" w14:textId="77777777" w:rsidR="00F96D03" w:rsidRPr="00B93529" w:rsidRDefault="00F96D03" w:rsidP="00806774">
            <w:pPr>
              <w:suppressAutoHyphens/>
              <w:rPr>
                <w:sz w:val="22"/>
                <w:szCs w:val="22"/>
              </w:rPr>
            </w:pPr>
          </w:p>
        </w:tc>
        <w:tc>
          <w:tcPr>
            <w:tcW w:w="3951" w:type="dxa"/>
          </w:tcPr>
          <w:p w14:paraId="6007A3C0" w14:textId="77777777" w:rsidR="00F96D03" w:rsidRPr="00B93529" w:rsidRDefault="00F96D03" w:rsidP="00806774">
            <w:pPr>
              <w:suppressAutoHyphens/>
              <w:rPr>
                <w:sz w:val="22"/>
                <w:szCs w:val="22"/>
              </w:rPr>
            </w:pPr>
          </w:p>
        </w:tc>
        <w:tc>
          <w:tcPr>
            <w:tcW w:w="3892" w:type="dxa"/>
          </w:tcPr>
          <w:p w14:paraId="2021D35F" w14:textId="77777777" w:rsidR="00F96D03" w:rsidRPr="00B93529" w:rsidRDefault="00F96D03" w:rsidP="00806774">
            <w:pPr>
              <w:suppressAutoHyphens/>
              <w:rPr>
                <w:sz w:val="22"/>
                <w:szCs w:val="22"/>
              </w:rPr>
            </w:pPr>
          </w:p>
        </w:tc>
      </w:tr>
      <w:tr w:rsidR="00F96D03" w:rsidRPr="00B93529" w14:paraId="7EBB45D1" w14:textId="77777777" w:rsidTr="00806774">
        <w:tc>
          <w:tcPr>
            <w:tcW w:w="1692" w:type="dxa"/>
          </w:tcPr>
          <w:p w14:paraId="13A8BB23" w14:textId="77777777" w:rsidR="00F96D03" w:rsidRPr="00B93529" w:rsidRDefault="00F96D03" w:rsidP="00806774">
            <w:pPr>
              <w:suppressAutoHyphens/>
              <w:rPr>
                <w:sz w:val="22"/>
                <w:szCs w:val="22"/>
              </w:rPr>
            </w:pPr>
          </w:p>
        </w:tc>
        <w:tc>
          <w:tcPr>
            <w:tcW w:w="3951" w:type="dxa"/>
          </w:tcPr>
          <w:p w14:paraId="4B1FEBD4" w14:textId="77777777" w:rsidR="00F96D03" w:rsidRPr="00B93529" w:rsidRDefault="00F96D03" w:rsidP="00806774">
            <w:pPr>
              <w:suppressAutoHyphens/>
              <w:rPr>
                <w:sz w:val="22"/>
                <w:szCs w:val="22"/>
              </w:rPr>
            </w:pPr>
          </w:p>
        </w:tc>
        <w:tc>
          <w:tcPr>
            <w:tcW w:w="3892" w:type="dxa"/>
          </w:tcPr>
          <w:p w14:paraId="22A7141C" w14:textId="77777777" w:rsidR="00F96D03" w:rsidRPr="00B93529" w:rsidRDefault="00F96D03" w:rsidP="00806774">
            <w:pPr>
              <w:suppressAutoHyphens/>
              <w:rPr>
                <w:sz w:val="22"/>
                <w:szCs w:val="22"/>
              </w:rPr>
            </w:pPr>
          </w:p>
        </w:tc>
      </w:tr>
      <w:tr w:rsidR="00F96D03" w:rsidRPr="00B93529" w14:paraId="156F1F9E" w14:textId="77777777" w:rsidTr="00806774">
        <w:tc>
          <w:tcPr>
            <w:tcW w:w="1692" w:type="dxa"/>
          </w:tcPr>
          <w:p w14:paraId="71726659" w14:textId="77777777" w:rsidR="00F96D03" w:rsidRPr="00B93529" w:rsidRDefault="00F96D03" w:rsidP="00806774">
            <w:pPr>
              <w:suppressAutoHyphens/>
              <w:rPr>
                <w:sz w:val="22"/>
                <w:szCs w:val="22"/>
              </w:rPr>
            </w:pPr>
          </w:p>
        </w:tc>
        <w:tc>
          <w:tcPr>
            <w:tcW w:w="3951" w:type="dxa"/>
          </w:tcPr>
          <w:p w14:paraId="4CCD5540" w14:textId="77777777" w:rsidR="00F96D03" w:rsidRPr="00B93529" w:rsidRDefault="00F96D03" w:rsidP="00806774">
            <w:pPr>
              <w:suppressAutoHyphens/>
              <w:rPr>
                <w:sz w:val="22"/>
                <w:szCs w:val="22"/>
              </w:rPr>
            </w:pPr>
          </w:p>
        </w:tc>
        <w:tc>
          <w:tcPr>
            <w:tcW w:w="3892" w:type="dxa"/>
          </w:tcPr>
          <w:p w14:paraId="7C4C47E5" w14:textId="77777777" w:rsidR="00F96D03" w:rsidRPr="00B93529" w:rsidRDefault="00F96D03" w:rsidP="00806774">
            <w:pPr>
              <w:suppressAutoHyphens/>
              <w:rPr>
                <w:sz w:val="22"/>
                <w:szCs w:val="22"/>
              </w:rPr>
            </w:pPr>
          </w:p>
        </w:tc>
      </w:tr>
      <w:tr w:rsidR="00F96D03" w:rsidRPr="00B93529" w14:paraId="2F33ED6E" w14:textId="77777777" w:rsidTr="00806774">
        <w:tc>
          <w:tcPr>
            <w:tcW w:w="1692" w:type="dxa"/>
          </w:tcPr>
          <w:p w14:paraId="631CBAF3" w14:textId="77777777" w:rsidR="00F96D03" w:rsidRPr="00B93529" w:rsidRDefault="00F96D03" w:rsidP="00806774">
            <w:pPr>
              <w:suppressAutoHyphens/>
              <w:rPr>
                <w:sz w:val="22"/>
                <w:szCs w:val="22"/>
              </w:rPr>
            </w:pPr>
          </w:p>
        </w:tc>
        <w:tc>
          <w:tcPr>
            <w:tcW w:w="3951" w:type="dxa"/>
          </w:tcPr>
          <w:p w14:paraId="603CF236" w14:textId="77777777" w:rsidR="00F96D03" w:rsidRPr="00B93529" w:rsidRDefault="00F96D03" w:rsidP="00806774">
            <w:pPr>
              <w:suppressAutoHyphens/>
              <w:rPr>
                <w:sz w:val="22"/>
                <w:szCs w:val="22"/>
              </w:rPr>
            </w:pPr>
          </w:p>
        </w:tc>
        <w:tc>
          <w:tcPr>
            <w:tcW w:w="3892" w:type="dxa"/>
          </w:tcPr>
          <w:p w14:paraId="1D24FE13" w14:textId="77777777" w:rsidR="00F96D03" w:rsidRPr="00B93529" w:rsidRDefault="00F96D03" w:rsidP="00806774">
            <w:pPr>
              <w:suppressAutoHyphens/>
              <w:rPr>
                <w:sz w:val="22"/>
                <w:szCs w:val="22"/>
              </w:rPr>
            </w:pPr>
          </w:p>
        </w:tc>
      </w:tr>
      <w:tr w:rsidR="00F96D03" w:rsidRPr="00B93529" w14:paraId="70BD8AD6" w14:textId="77777777" w:rsidTr="00806774">
        <w:tc>
          <w:tcPr>
            <w:tcW w:w="1692" w:type="dxa"/>
          </w:tcPr>
          <w:p w14:paraId="76285638" w14:textId="77777777" w:rsidR="00F96D03" w:rsidRPr="00B93529" w:rsidRDefault="00F96D03" w:rsidP="00806774">
            <w:pPr>
              <w:suppressAutoHyphens/>
              <w:rPr>
                <w:sz w:val="22"/>
                <w:szCs w:val="22"/>
              </w:rPr>
            </w:pPr>
          </w:p>
        </w:tc>
        <w:tc>
          <w:tcPr>
            <w:tcW w:w="3951" w:type="dxa"/>
          </w:tcPr>
          <w:p w14:paraId="0480AA91" w14:textId="77777777" w:rsidR="00F96D03" w:rsidRPr="00B93529" w:rsidRDefault="00F96D03" w:rsidP="00806774">
            <w:pPr>
              <w:suppressAutoHyphens/>
              <w:rPr>
                <w:sz w:val="22"/>
                <w:szCs w:val="22"/>
              </w:rPr>
            </w:pPr>
          </w:p>
        </w:tc>
        <w:tc>
          <w:tcPr>
            <w:tcW w:w="3892" w:type="dxa"/>
          </w:tcPr>
          <w:p w14:paraId="571C38D8" w14:textId="77777777" w:rsidR="00F96D03" w:rsidRPr="00B93529" w:rsidRDefault="00F96D03" w:rsidP="00806774">
            <w:pPr>
              <w:suppressAutoHyphens/>
              <w:rPr>
                <w:sz w:val="22"/>
                <w:szCs w:val="22"/>
              </w:rPr>
            </w:pPr>
          </w:p>
        </w:tc>
      </w:tr>
      <w:tr w:rsidR="00F96D03" w:rsidRPr="00B93529" w14:paraId="13EFE827" w14:textId="77777777" w:rsidTr="00806774">
        <w:tc>
          <w:tcPr>
            <w:tcW w:w="1692" w:type="dxa"/>
          </w:tcPr>
          <w:p w14:paraId="328421D0" w14:textId="77777777" w:rsidR="00F96D03" w:rsidRPr="00B93529" w:rsidRDefault="00F96D03" w:rsidP="00806774">
            <w:pPr>
              <w:suppressAutoHyphens/>
              <w:rPr>
                <w:sz w:val="22"/>
                <w:szCs w:val="22"/>
              </w:rPr>
            </w:pPr>
          </w:p>
        </w:tc>
        <w:tc>
          <w:tcPr>
            <w:tcW w:w="3951" w:type="dxa"/>
          </w:tcPr>
          <w:p w14:paraId="1211FBF6" w14:textId="77777777" w:rsidR="00F96D03" w:rsidRPr="00B93529" w:rsidRDefault="00F96D03" w:rsidP="00806774">
            <w:pPr>
              <w:suppressAutoHyphens/>
              <w:rPr>
                <w:sz w:val="22"/>
                <w:szCs w:val="22"/>
              </w:rPr>
            </w:pPr>
          </w:p>
        </w:tc>
        <w:tc>
          <w:tcPr>
            <w:tcW w:w="3892" w:type="dxa"/>
          </w:tcPr>
          <w:p w14:paraId="56FBC636" w14:textId="77777777" w:rsidR="00F96D03" w:rsidRPr="00B93529" w:rsidRDefault="00F96D03" w:rsidP="00806774">
            <w:pPr>
              <w:suppressAutoHyphens/>
              <w:rPr>
                <w:sz w:val="22"/>
                <w:szCs w:val="22"/>
              </w:rPr>
            </w:pPr>
          </w:p>
        </w:tc>
      </w:tr>
      <w:tr w:rsidR="00F96D03" w:rsidRPr="00B93529" w14:paraId="0C1646E5" w14:textId="77777777" w:rsidTr="00806774">
        <w:tc>
          <w:tcPr>
            <w:tcW w:w="1692" w:type="dxa"/>
          </w:tcPr>
          <w:p w14:paraId="75A9CE2C" w14:textId="77777777" w:rsidR="00F96D03" w:rsidRPr="00B93529" w:rsidRDefault="00F96D03" w:rsidP="00806774">
            <w:pPr>
              <w:suppressAutoHyphens/>
              <w:rPr>
                <w:sz w:val="22"/>
                <w:szCs w:val="22"/>
              </w:rPr>
            </w:pPr>
          </w:p>
        </w:tc>
        <w:tc>
          <w:tcPr>
            <w:tcW w:w="3951" w:type="dxa"/>
          </w:tcPr>
          <w:p w14:paraId="0E575C0F" w14:textId="77777777" w:rsidR="00F96D03" w:rsidRPr="00B93529" w:rsidRDefault="00F96D03" w:rsidP="00806774">
            <w:pPr>
              <w:suppressAutoHyphens/>
              <w:rPr>
                <w:sz w:val="22"/>
                <w:szCs w:val="22"/>
              </w:rPr>
            </w:pPr>
          </w:p>
        </w:tc>
        <w:tc>
          <w:tcPr>
            <w:tcW w:w="3892" w:type="dxa"/>
          </w:tcPr>
          <w:p w14:paraId="4873587B" w14:textId="77777777" w:rsidR="00F96D03" w:rsidRPr="00B93529" w:rsidRDefault="00F96D03" w:rsidP="00806774">
            <w:pPr>
              <w:suppressAutoHyphens/>
              <w:rPr>
                <w:sz w:val="22"/>
                <w:szCs w:val="22"/>
              </w:rPr>
            </w:pPr>
          </w:p>
        </w:tc>
      </w:tr>
      <w:tr w:rsidR="00F96D03" w:rsidRPr="00B93529" w14:paraId="099C6877" w14:textId="77777777" w:rsidTr="00806774">
        <w:tc>
          <w:tcPr>
            <w:tcW w:w="1692" w:type="dxa"/>
          </w:tcPr>
          <w:p w14:paraId="4DAA7B5C" w14:textId="77777777" w:rsidR="00F96D03" w:rsidRPr="00B93529" w:rsidRDefault="00F96D03" w:rsidP="00806774">
            <w:pPr>
              <w:suppressAutoHyphens/>
              <w:rPr>
                <w:sz w:val="22"/>
                <w:szCs w:val="22"/>
              </w:rPr>
            </w:pPr>
          </w:p>
        </w:tc>
        <w:tc>
          <w:tcPr>
            <w:tcW w:w="3951" w:type="dxa"/>
          </w:tcPr>
          <w:p w14:paraId="204B4CCB" w14:textId="77777777" w:rsidR="00F96D03" w:rsidRPr="00B93529" w:rsidRDefault="00F96D03" w:rsidP="00806774">
            <w:pPr>
              <w:suppressAutoHyphens/>
              <w:rPr>
                <w:sz w:val="22"/>
                <w:szCs w:val="22"/>
              </w:rPr>
            </w:pPr>
          </w:p>
        </w:tc>
        <w:tc>
          <w:tcPr>
            <w:tcW w:w="3892" w:type="dxa"/>
          </w:tcPr>
          <w:p w14:paraId="03CDCF75" w14:textId="77777777" w:rsidR="00F96D03" w:rsidRPr="00B93529" w:rsidRDefault="00F96D03" w:rsidP="00806774">
            <w:pPr>
              <w:suppressAutoHyphens/>
              <w:rPr>
                <w:sz w:val="22"/>
                <w:szCs w:val="22"/>
              </w:rPr>
            </w:pPr>
          </w:p>
        </w:tc>
      </w:tr>
      <w:tr w:rsidR="00F96D03" w:rsidRPr="00B93529" w14:paraId="0DE8B584" w14:textId="77777777" w:rsidTr="00806774">
        <w:tc>
          <w:tcPr>
            <w:tcW w:w="1692" w:type="dxa"/>
          </w:tcPr>
          <w:p w14:paraId="5060501B" w14:textId="77777777" w:rsidR="00F96D03" w:rsidRPr="00B93529" w:rsidRDefault="00F96D03" w:rsidP="00806774">
            <w:pPr>
              <w:suppressAutoHyphens/>
              <w:rPr>
                <w:sz w:val="22"/>
                <w:szCs w:val="22"/>
              </w:rPr>
            </w:pPr>
          </w:p>
        </w:tc>
        <w:tc>
          <w:tcPr>
            <w:tcW w:w="3951" w:type="dxa"/>
          </w:tcPr>
          <w:p w14:paraId="19EE0277" w14:textId="77777777" w:rsidR="00F96D03" w:rsidRPr="00B93529" w:rsidRDefault="00F96D03" w:rsidP="00806774">
            <w:pPr>
              <w:suppressAutoHyphens/>
              <w:rPr>
                <w:sz w:val="22"/>
                <w:szCs w:val="22"/>
              </w:rPr>
            </w:pPr>
          </w:p>
        </w:tc>
        <w:tc>
          <w:tcPr>
            <w:tcW w:w="3892" w:type="dxa"/>
          </w:tcPr>
          <w:p w14:paraId="5AE13CDC" w14:textId="77777777" w:rsidR="00F96D03" w:rsidRPr="00B93529" w:rsidRDefault="00F96D03" w:rsidP="00806774">
            <w:pPr>
              <w:suppressAutoHyphens/>
              <w:rPr>
                <w:sz w:val="22"/>
                <w:szCs w:val="22"/>
              </w:rPr>
            </w:pPr>
          </w:p>
        </w:tc>
      </w:tr>
      <w:tr w:rsidR="00F96D03" w:rsidRPr="00B93529" w14:paraId="29C13FDF" w14:textId="77777777" w:rsidTr="00806774">
        <w:tc>
          <w:tcPr>
            <w:tcW w:w="1692" w:type="dxa"/>
          </w:tcPr>
          <w:p w14:paraId="33884A84" w14:textId="77777777" w:rsidR="00F96D03" w:rsidRPr="00B93529" w:rsidRDefault="00F96D03" w:rsidP="00806774">
            <w:pPr>
              <w:suppressAutoHyphens/>
              <w:rPr>
                <w:sz w:val="22"/>
                <w:szCs w:val="22"/>
              </w:rPr>
            </w:pPr>
          </w:p>
        </w:tc>
        <w:tc>
          <w:tcPr>
            <w:tcW w:w="3951" w:type="dxa"/>
          </w:tcPr>
          <w:p w14:paraId="0E9F8153" w14:textId="77777777" w:rsidR="00F96D03" w:rsidRPr="00B93529" w:rsidRDefault="00F96D03" w:rsidP="00806774">
            <w:pPr>
              <w:suppressAutoHyphens/>
              <w:rPr>
                <w:sz w:val="22"/>
                <w:szCs w:val="22"/>
              </w:rPr>
            </w:pPr>
          </w:p>
        </w:tc>
        <w:tc>
          <w:tcPr>
            <w:tcW w:w="3892" w:type="dxa"/>
          </w:tcPr>
          <w:p w14:paraId="1830F8B0" w14:textId="77777777" w:rsidR="00F96D03" w:rsidRPr="00B93529" w:rsidRDefault="00F96D03" w:rsidP="00806774">
            <w:pPr>
              <w:suppressAutoHyphens/>
              <w:rPr>
                <w:sz w:val="22"/>
                <w:szCs w:val="22"/>
              </w:rPr>
            </w:pPr>
          </w:p>
        </w:tc>
      </w:tr>
      <w:tr w:rsidR="00F96D03" w:rsidRPr="00B93529" w14:paraId="134BD1B8" w14:textId="77777777" w:rsidTr="00806774">
        <w:tc>
          <w:tcPr>
            <w:tcW w:w="1692" w:type="dxa"/>
          </w:tcPr>
          <w:p w14:paraId="75BC0FDF" w14:textId="77777777" w:rsidR="00F96D03" w:rsidRPr="00B93529" w:rsidRDefault="00F96D03" w:rsidP="00806774">
            <w:pPr>
              <w:suppressAutoHyphens/>
              <w:rPr>
                <w:sz w:val="22"/>
                <w:szCs w:val="22"/>
              </w:rPr>
            </w:pPr>
          </w:p>
        </w:tc>
        <w:tc>
          <w:tcPr>
            <w:tcW w:w="3951" w:type="dxa"/>
          </w:tcPr>
          <w:p w14:paraId="4AB9D140" w14:textId="77777777" w:rsidR="00F96D03" w:rsidRPr="00B93529" w:rsidRDefault="00F96D03" w:rsidP="00806774">
            <w:pPr>
              <w:suppressAutoHyphens/>
              <w:rPr>
                <w:sz w:val="22"/>
                <w:szCs w:val="22"/>
              </w:rPr>
            </w:pPr>
          </w:p>
        </w:tc>
        <w:tc>
          <w:tcPr>
            <w:tcW w:w="3892" w:type="dxa"/>
          </w:tcPr>
          <w:p w14:paraId="559D6C2D" w14:textId="77777777" w:rsidR="00F96D03" w:rsidRPr="00B93529" w:rsidRDefault="00F96D03" w:rsidP="00806774">
            <w:pPr>
              <w:suppressAutoHyphens/>
              <w:rPr>
                <w:sz w:val="22"/>
                <w:szCs w:val="22"/>
              </w:rPr>
            </w:pPr>
          </w:p>
        </w:tc>
      </w:tr>
      <w:tr w:rsidR="00F96D03" w:rsidRPr="00B93529" w14:paraId="26E016B6" w14:textId="77777777" w:rsidTr="00806774">
        <w:tc>
          <w:tcPr>
            <w:tcW w:w="1692" w:type="dxa"/>
          </w:tcPr>
          <w:p w14:paraId="5EB92B60" w14:textId="77777777" w:rsidR="00F96D03" w:rsidRPr="00B93529" w:rsidRDefault="00F96D03" w:rsidP="00806774">
            <w:pPr>
              <w:suppressAutoHyphens/>
              <w:rPr>
                <w:sz w:val="22"/>
                <w:szCs w:val="22"/>
              </w:rPr>
            </w:pPr>
          </w:p>
        </w:tc>
        <w:tc>
          <w:tcPr>
            <w:tcW w:w="3951" w:type="dxa"/>
          </w:tcPr>
          <w:p w14:paraId="00C1F02C" w14:textId="77777777" w:rsidR="00F96D03" w:rsidRPr="00B93529" w:rsidRDefault="00F96D03" w:rsidP="00806774">
            <w:pPr>
              <w:suppressAutoHyphens/>
              <w:rPr>
                <w:sz w:val="22"/>
                <w:szCs w:val="22"/>
              </w:rPr>
            </w:pPr>
          </w:p>
        </w:tc>
        <w:tc>
          <w:tcPr>
            <w:tcW w:w="3892" w:type="dxa"/>
          </w:tcPr>
          <w:p w14:paraId="2B2789D9" w14:textId="77777777" w:rsidR="00F96D03" w:rsidRPr="00B93529" w:rsidRDefault="00F96D03" w:rsidP="00806774">
            <w:pPr>
              <w:suppressAutoHyphens/>
              <w:rPr>
                <w:sz w:val="22"/>
                <w:szCs w:val="22"/>
              </w:rPr>
            </w:pPr>
          </w:p>
        </w:tc>
      </w:tr>
      <w:tr w:rsidR="00F96D03" w:rsidRPr="00B93529" w14:paraId="36BD9E58" w14:textId="77777777" w:rsidTr="00806774">
        <w:tc>
          <w:tcPr>
            <w:tcW w:w="1692" w:type="dxa"/>
          </w:tcPr>
          <w:p w14:paraId="7DD41107" w14:textId="77777777" w:rsidR="00F96D03" w:rsidRPr="00B93529" w:rsidRDefault="00F96D03" w:rsidP="00806774">
            <w:pPr>
              <w:suppressAutoHyphens/>
              <w:rPr>
                <w:sz w:val="22"/>
                <w:szCs w:val="22"/>
              </w:rPr>
            </w:pPr>
          </w:p>
        </w:tc>
        <w:tc>
          <w:tcPr>
            <w:tcW w:w="3951" w:type="dxa"/>
          </w:tcPr>
          <w:p w14:paraId="4B9E37FC" w14:textId="77777777" w:rsidR="00F96D03" w:rsidRPr="00B93529" w:rsidRDefault="00F96D03" w:rsidP="00806774">
            <w:pPr>
              <w:suppressAutoHyphens/>
              <w:rPr>
                <w:sz w:val="22"/>
                <w:szCs w:val="22"/>
              </w:rPr>
            </w:pPr>
          </w:p>
        </w:tc>
        <w:tc>
          <w:tcPr>
            <w:tcW w:w="3892" w:type="dxa"/>
          </w:tcPr>
          <w:p w14:paraId="0FD69923" w14:textId="77777777" w:rsidR="00F96D03" w:rsidRPr="00B93529" w:rsidRDefault="00F96D03" w:rsidP="00806774">
            <w:pPr>
              <w:suppressAutoHyphens/>
              <w:rPr>
                <w:sz w:val="22"/>
                <w:szCs w:val="22"/>
              </w:rPr>
            </w:pPr>
          </w:p>
        </w:tc>
      </w:tr>
      <w:tr w:rsidR="00F96D03" w:rsidRPr="00B93529" w14:paraId="293859B9" w14:textId="77777777" w:rsidTr="00806774">
        <w:tc>
          <w:tcPr>
            <w:tcW w:w="1692" w:type="dxa"/>
          </w:tcPr>
          <w:p w14:paraId="23706C83" w14:textId="77777777" w:rsidR="00F96D03" w:rsidRPr="00B93529" w:rsidRDefault="00F96D03" w:rsidP="00806774">
            <w:pPr>
              <w:suppressAutoHyphens/>
              <w:rPr>
                <w:sz w:val="22"/>
                <w:szCs w:val="22"/>
              </w:rPr>
            </w:pPr>
          </w:p>
        </w:tc>
        <w:tc>
          <w:tcPr>
            <w:tcW w:w="3951" w:type="dxa"/>
          </w:tcPr>
          <w:p w14:paraId="2AFFAF90" w14:textId="77777777" w:rsidR="00F96D03" w:rsidRPr="00B93529" w:rsidRDefault="00F96D03" w:rsidP="00806774">
            <w:pPr>
              <w:suppressAutoHyphens/>
              <w:rPr>
                <w:sz w:val="22"/>
                <w:szCs w:val="22"/>
              </w:rPr>
            </w:pPr>
          </w:p>
        </w:tc>
        <w:tc>
          <w:tcPr>
            <w:tcW w:w="3892" w:type="dxa"/>
          </w:tcPr>
          <w:p w14:paraId="2DFEF637" w14:textId="77777777" w:rsidR="00F96D03" w:rsidRPr="00B93529" w:rsidRDefault="00F96D03" w:rsidP="00806774">
            <w:pPr>
              <w:suppressAutoHyphens/>
              <w:rPr>
                <w:sz w:val="22"/>
                <w:szCs w:val="22"/>
              </w:rPr>
            </w:pPr>
          </w:p>
        </w:tc>
      </w:tr>
      <w:tr w:rsidR="00F96D03" w:rsidRPr="00B93529" w14:paraId="1C7E4183" w14:textId="77777777" w:rsidTr="00806774">
        <w:tc>
          <w:tcPr>
            <w:tcW w:w="1692" w:type="dxa"/>
          </w:tcPr>
          <w:p w14:paraId="71D6DB75" w14:textId="77777777" w:rsidR="00F96D03" w:rsidRPr="00B93529" w:rsidRDefault="00F96D03" w:rsidP="00806774">
            <w:pPr>
              <w:suppressAutoHyphens/>
              <w:rPr>
                <w:sz w:val="22"/>
                <w:szCs w:val="22"/>
              </w:rPr>
            </w:pPr>
          </w:p>
        </w:tc>
        <w:tc>
          <w:tcPr>
            <w:tcW w:w="3951" w:type="dxa"/>
          </w:tcPr>
          <w:p w14:paraId="5AADFBC2" w14:textId="77777777" w:rsidR="00F96D03" w:rsidRPr="00B93529" w:rsidRDefault="00F96D03" w:rsidP="00806774">
            <w:pPr>
              <w:suppressAutoHyphens/>
              <w:rPr>
                <w:sz w:val="22"/>
                <w:szCs w:val="22"/>
              </w:rPr>
            </w:pPr>
          </w:p>
        </w:tc>
        <w:tc>
          <w:tcPr>
            <w:tcW w:w="3892" w:type="dxa"/>
          </w:tcPr>
          <w:p w14:paraId="5FA01CD0" w14:textId="77777777" w:rsidR="00F96D03" w:rsidRPr="00B93529" w:rsidRDefault="00F96D03" w:rsidP="00806774">
            <w:pPr>
              <w:suppressAutoHyphens/>
              <w:rPr>
                <w:sz w:val="22"/>
                <w:szCs w:val="22"/>
              </w:rPr>
            </w:pPr>
          </w:p>
        </w:tc>
      </w:tr>
      <w:tr w:rsidR="00F96D03" w:rsidRPr="00B93529" w14:paraId="42AFF51F" w14:textId="77777777" w:rsidTr="00806774">
        <w:tc>
          <w:tcPr>
            <w:tcW w:w="1692" w:type="dxa"/>
          </w:tcPr>
          <w:p w14:paraId="32A41249" w14:textId="77777777" w:rsidR="00F96D03" w:rsidRPr="00B93529" w:rsidRDefault="00F96D03" w:rsidP="00806774">
            <w:pPr>
              <w:suppressAutoHyphens/>
              <w:rPr>
                <w:sz w:val="22"/>
                <w:szCs w:val="22"/>
              </w:rPr>
            </w:pPr>
          </w:p>
        </w:tc>
        <w:tc>
          <w:tcPr>
            <w:tcW w:w="3951" w:type="dxa"/>
          </w:tcPr>
          <w:p w14:paraId="5B5E503C" w14:textId="77777777" w:rsidR="00F96D03" w:rsidRPr="00B93529" w:rsidRDefault="00F96D03" w:rsidP="00806774">
            <w:pPr>
              <w:suppressAutoHyphens/>
              <w:rPr>
                <w:sz w:val="22"/>
                <w:szCs w:val="22"/>
              </w:rPr>
            </w:pPr>
          </w:p>
        </w:tc>
        <w:tc>
          <w:tcPr>
            <w:tcW w:w="3892" w:type="dxa"/>
          </w:tcPr>
          <w:p w14:paraId="4C390635" w14:textId="77777777" w:rsidR="00F96D03" w:rsidRPr="00B93529" w:rsidRDefault="00F96D03" w:rsidP="00806774">
            <w:pPr>
              <w:suppressAutoHyphens/>
              <w:rPr>
                <w:sz w:val="22"/>
                <w:szCs w:val="22"/>
              </w:rPr>
            </w:pPr>
          </w:p>
        </w:tc>
      </w:tr>
      <w:tr w:rsidR="00F96D03" w:rsidRPr="00B93529" w14:paraId="6EEABCBB" w14:textId="77777777" w:rsidTr="00806774">
        <w:tc>
          <w:tcPr>
            <w:tcW w:w="1692" w:type="dxa"/>
          </w:tcPr>
          <w:p w14:paraId="735B863E" w14:textId="77777777" w:rsidR="00F96D03" w:rsidRPr="00B93529" w:rsidRDefault="00F96D03" w:rsidP="00806774">
            <w:pPr>
              <w:suppressAutoHyphens/>
              <w:rPr>
                <w:sz w:val="22"/>
                <w:szCs w:val="22"/>
              </w:rPr>
            </w:pPr>
          </w:p>
        </w:tc>
        <w:tc>
          <w:tcPr>
            <w:tcW w:w="3951" w:type="dxa"/>
          </w:tcPr>
          <w:p w14:paraId="1939EC84" w14:textId="77777777" w:rsidR="00F96D03" w:rsidRPr="00B93529" w:rsidRDefault="00F96D03" w:rsidP="00806774">
            <w:pPr>
              <w:suppressAutoHyphens/>
              <w:rPr>
                <w:sz w:val="22"/>
                <w:szCs w:val="22"/>
              </w:rPr>
            </w:pPr>
          </w:p>
        </w:tc>
        <w:tc>
          <w:tcPr>
            <w:tcW w:w="3892" w:type="dxa"/>
          </w:tcPr>
          <w:p w14:paraId="5E333E52" w14:textId="77777777" w:rsidR="00F96D03" w:rsidRPr="00B93529" w:rsidRDefault="00F96D03" w:rsidP="00806774">
            <w:pPr>
              <w:suppressAutoHyphens/>
              <w:rPr>
                <w:sz w:val="22"/>
                <w:szCs w:val="22"/>
              </w:rPr>
            </w:pPr>
          </w:p>
        </w:tc>
      </w:tr>
      <w:tr w:rsidR="00F96D03" w:rsidRPr="00B93529" w14:paraId="3D458320" w14:textId="77777777" w:rsidTr="00806774">
        <w:tc>
          <w:tcPr>
            <w:tcW w:w="1692" w:type="dxa"/>
          </w:tcPr>
          <w:p w14:paraId="3E57562F" w14:textId="77777777" w:rsidR="00F96D03" w:rsidRPr="00B93529" w:rsidRDefault="00F96D03" w:rsidP="00806774">
            <w:pPr>
              <w:suppressAutoHyphens/>
              <w:rPr>
                <w:sz w:val="22"/>
                <w:szCs w:val="22"/>
              </w:rPr>
            </w:pPr>
          </w:p>
        </w:tc>
        <w:tc>
          <w:tcPr>
            <w:tcW w:w="3951" w:type="dxa"/>
          </w:tcPr>
          <w:p w14:paraId="3792137B" w14:textId="77777777" w:rsidR="00F96D03" w:rsidRPr="00B93529" w:rsidRDefault="00F96D03" w:rsidP="00806774">
            <w:pPr>
              <w:suppressAutoHyphens/>
              <w:rPr>
                <w:sz w:val="22"/>
                <w:szCs w:val="22"/>
              </w:rPr>
            </w:pPr>
          </w:p>
        </w:tc>
        <w:tc>
          <w:tcPr>
            <w:tcW w:w="3892" w:type="dxa"/>
          </w:tcPr>
          <w:p w14:paraId="7A021751" w14:textId="77777777" w:rsidR="00F96D03" w:rsidRPr="00B93529" w:rsidRDefault="00F96D03" w:rsidP="00806774">
            <w:pPr>
              <w:suppressAutoHyphens/>
              <w:rPr>
                <w:sz w:val="22"/>
                <w:szCs w:val="22"/>
              </w:rPr>
            </w:pPr>
          </w:p>
        </w:tc>
      </w:tr>
      <w:tr w:rsidR="00F96D03" w:rsidRPr="00B93529" w14:paraId="69A2417B" w14:textId="77777777" w:rsidTr="00806774">
        <w:tc>
          <w:tcPr>
            <w:tcW w:w="1692" w:type="dxa"/>
          </w:tcPr>
          <w:p w14:paraId="2EC4307A" w14:textId="77777777" w:rsidR="00F96D03" w:rsidRPr="00B93529" w:rsidRDefault="00F96D03" w:rsidP="00806774">
            <w:pPr>
              <w:suppressAutoHyphens/>
              <w:rPr>
                <w:sz w:val="22"/>
                <w:szCs w:val="22"/>
              </w:rPr>
            </w:pPr>
          </w:p>
        </w:tc>
        <w:tc>
          <w:tcPr>
            <w:tcW w:w="3951" w:type="dxa"/>
          </w:tcPr>
          <w:p w14:paraId="37848798" w14:textId="77777777" w:rsidR="00F96D03" w:rsidRPr="00B93529" w:rsidRDefault="00F96D03" w:rsidP="00806774">
            <w:pPr>
              <w:suppressAutoHyphens/>
              <w:rPr>
                <w:sz w:val="22"/>
                <w:szCs w:val="22"/>
              </w:rPr>
            </w:pPr>
          </w:p>
        </w:tc>
        <w:tc>
          <w:tcPr>
            <w:tcW w:w="3892" w:type="dxa"/>
          </w:tcPr>
          <w:p w14:paraId="7252B2CC" w14:textId="77777777" w:rsidR="00F96D03" w:rsidRPr="00B93529" w:rsidRDefault="00F96D03" w:rsidP="00806774">
            <w:pPr>
              <w:suppressAutoHyphens/>
              <w:rPr>
                <w:sz w:val="22"/>
                <w:szCs w:val="22"/>
              </w:rPr>
            </w:pPr>
          </w:p>
        </w:tc>
      </w:tr>
      <w:tr w:rsidR="00F96D03" w:rsidRPr="00B93529" w14:paraId="1F65C879" w14:textId="77777777" w:rsidTr="00806774">
        <w:tc>
          <w:tcPr>
            <w:tcW w:w="1692" w:type="dxa"/>
          </w:tcPr>
          <w:p w14:paraId="10B6F1D0" w14:textId="77777777" w:rsidR="00F96D03" w:rsidRPr="00B93529" w:rsidRDefault="00F96D03" w:rsidP="00806774">
            <w:pPr>
              <w:suppressAutoHyphens/>
              <w:rPr>
                <w:sz w:val="22"/>
                <w:szCs w:val="22"/>
              </w:rPr>
            </w:pPr>
          </w:p>
        </w:tc>
        <w:tc>
          <w:tcPr>
            <w:tcW w:w="3951" w:type="dxa"/>
          </w:tcPr>
          <w:p w14:paraId="55678224" w14:textId="77777777" w:rsidR="00F96D03" w:rsidRPr="00B93529" w:rsidRDefault="00F96D03" w:rsidP="00806774">
            <w:pPr>
              <w:suppressAutoHyphens/>
              <w:rPr>
                <w:sz w:val="22"/>
                <w:szCs w:val="22"/>
              </w:rPr>
            </w:pPr>
          </w:p>
        </w:tc>
        <w:tc>
          <w:tcPr>
            <w:tcW w:w="3892" w:type="dxa"/>
          </w:tcPr>
          <w:p w14:paraId="7EF88726" w14:textId="77777777" w:rsidR="00F96D03" w:rsidRPr="00B93529" w:rsidRDefault="00F96D03" w:rsidP="00806774">
            <w:pPr>
              <w:suppressAutoHyphens/>
              <w:rPr>
                <w:sz w:val="22"/>
                <w:szCs w:val="22"/>
              </w:rPr>
            </w:pPr>
          </w:p>
        </w:tc>
      </w:tr>
      <w:tr w:rsidR="00F96D03" w:rsidRPr="00B93529" w14:paraId="78D022C9" w14:textId="77777777" w:rsidTr="00806774">
        <w:tc>
          <w:tcPr>
            <w:tcW w:w="1692" w:type="dxa"/>
          </w:tcPr>
          <w:p w14:paraId="1EC8939D" w14:textId="77777777" w:rsidR="00F96D03" w:rsidRPr="00B93529" w:rsidRDefault="00F96D03" w:rsidP="00806774">
            <w:pPr>
              <w:suppressAutoHyphens/>
              <w:rPr>
                <w:sz w:val="22"/>
                <w:szCs w:val="22"/>
              </w:rPr>
            </w:pPr>
          </w:p>
        </w:tc>
        <w:tc>
          <w:tcPr>
            <w:tcW w:w="3951" w:type="dxa"/>
          </w:tcPr>
          <w:p w14:paraId="0FD3B6B8" w14:textId="77777777" w:rsidR="00F96D03" w:rsidRPr="00B93529" w:rsidRDefault="00F96D03" w:rsidP="00806774">
            <w:pPr>
              <w:suppressAutoHyphens/>
              <w:rPr>
                <w:sz w:val="22"/>
                <w:szCs w:val="22"/>
              </w:rPr>
            </w:pPr>
          </w:p>
        </w:tc>
        <w:tc>
          <w:tcPr>
            <w:tcW w:w="3892" w:type="dxa"/>
          </w:tcPr>
          <w:p w14:paraId="48156BAA" w14:textId="77777777" w:rsidR="00F96D03" w:rsidRPr="00B93529" w:rsidRDefault="00F96D03" w:rsidP="00806774">
            <w:pPr>
              <w:suppressAutoHyphens/>
              <w:rPr>
                <w:sz w:val="22"/>
                <w:szCs w:val="22"/>
              </w:rPr>
            </w:pPr>
          </w:p>
        </w:tc>
      </w:tr>
      <w:tr w:rsidR="00F96D03" w:rsidRPr="00B93529" w14:paraId="75FE13A3" w14:textId="77777777" w:rsidTr="00806774">
        <w:tc>
          <w:tcPr>
            <w:tcW w:w="1692" w:type="dxa"/>
          </w:tcPr>
          <w:p w14:paraId="63D3648A" w14:textId="77777777" w:rsidR="00F96D03" w:rsidRPr="00B93529" w:rsidRDefault="00F96D03" w:rsidP="00806774">
            <w:pPr>
              <w:suppressAutoHyphens/>
              <w:rPr>
                <w:sz w:val="22"/>
                <w:szCs w:val="22"/>
              </w:rPr>
            </w:pPr>
          </w:p>
        </w:tc>
        <w:tc>
          <w:tcPr>
            <w:tcW w:w="3951" w:type="dxa"/>
          </w:tcPr>
          <w:p w14:paraId="3FC4F526" w14:textId="77777777" w:rsidR="00F96D03" w:rsidRPr="00B93529" w:rsidRDefault="00F96D03" w:rsidP="00806774">
            <w:pPr>
              <w:suppressAutoHyphens/>
              <w:rPr>
                <w:sz w:val="22"/>
                <w:szCs w:val="22"/>
              </w:rPr>
            </w:pPr>
          </w:p>
        </w:tc>
        <w:tc>
          <w:tcPr>
            <w:tcW w:w="3892" w:type="dxa"/>
          </w:tcPr>
          <w:p w14:paraId="01FD85AE" w14:textId="77777777" w:rsidR="00F96D03" w:rsidRPr="00B93529" w:rsidRDefault="00F96D03" w:rsidP="00806774">
            <w:pPr>
              <w:suppressAutoHyphens/>
              <w:rPr>
                <w:sz w:val="22"/>
                <w:szCs w:val="22"/>
              </w:rPr>
            </w:pPr>
          </w:p>
        </w:tc>
      </w:tr>
      <w:tr w:rsidR="00F96D03" w:rsidRPr="00B93529" w14:paraId="45176DEF" w14:textId="77777777" w:rsidTr="00806774">
        <w:tc>
          <w:tcPr>
            <w:tcW w:w="1692" w:type="dxa"/>
          </w:tcPr>
          <w:p w14:paraId="2F445399" w14:textId="77777777" w:rsidR="00F96D03" w:rsidRPr="00B93529" w:rsidRDefault="00F96D03" w:rsidP="00806774">
            <w:pPr>
              <w:suppressAutoHyphens/>
              <w:rPr>
                <w:sz w:val="22"/>
                <w:szCs w:val="22"/>
              </w:rPr>
            </w:pPr>
          </w:p>
        </w:tc>
        <w:tc>
          <w:tcPr>
            <w:tcW w:w="3951" w:type="dxa"/>
          </w:tcPr>
          <w:p w14:paraId="6B47D70B" w14:textId="77777777" w:rsidR="00F96D03" w:rsidRPr="00B93529" w:rsidRDefault="00F96D03" w:rsidP="00806774">
            <w:pPr>
              <w:suppressAutoHyphens/>
              <w:rPr>
                <w:sz w:val="22"/>
                <w:szCs w:val="22"/>
              </w:rPr>
            </w:pPr>
          </w:p>
        </w:tc>
        <w:tc>
          <w:tcPr>
            <w:tcW w:w="3892" w:type="dxa"/>
          </w:tcPr>
          <w:p w14:paraId="3E119F42" w14:textId="77777777" w:rsidR="00F96D03" w:rsidRPr="00B93529" w:rsidRDefault="00F96D03" w:rsidP="00806774">
            <w:pPr>
              <w:suppressAutoHyphens/>
              <w:rPr>
                <w:sz w:val="22"/>
                <w:szCs w:val="22"/>
              </w:rPr>
            </w:pPr>
          </w:p>
        </w:tc>
      </w:tr>
      <w:tr w:rsidR="00F96D03" w:rsidRPr="00B93529" w14:paraId="11A48F58" w14:textId="77777777" w:rsidTr="00806774">
        <w:tc>
          <w:tcPr>
            <w:tcW w:w="1692" w:type="dxa"/>
          </w:tcPr>
          <w:p w14:paraId="2EE14430" w14:textId="77777777" w:rsidR="00F96D03" w:rsidRPr="00B93529" w:rsidRDefault="00F96D03" w:rsidP="00806774">
            <w:pPr>
              <w:suppressAutoHyphens/>
              <w:rPr>
                <w:sz w:val="22"/>
                <w:szCs w:val="22"/>
              </w:rPr>
            </w:pPr>
          </w:p>
        </w:tc>
        <w:tc>
          <w:tcPr>
            <w:tcW w:w="3951" w:type="dxa"/>
          </w:tcPr>
          <w:p w14:paraId="1301C187" w14:textId="77777777" w:rsidR="00F96D03" w:rsidRPr="00B93529" w:rsidRDefault="00F96D03" w:rsidP="00806774">
            <w:pPr>
              <w:suppressAutoHyphens/>
              <w:rPr>
                <w:sz w:val="22"/>
                <w:szCs w:val="22"/>
              </w:rPr>
            </w:pPr>
          </w:p>
        </w:tc>
        <w:tc>
          <w:tcPr>
            <w:tcW w:w="3892" w:type="dxa"/>
          </w:tcPr>
          <w:p w14:paraId="456A1496" w14:textId="77777777" w:rsidR="00F96D03" w:rsidRPr="00B93529" w:rsidRDefault="00F96D03" w:rsidP="00806774">
            <w:pPr>
              <w:suppressAutoHyphens/>
              <w:rPr>
                <w:sz w:val="22"/>
                <w:szCs w:val="22"/>
              </w:rPr>
            </w:pPr>
          </w:p>
        </w:tc>
      </w:tr>
      <w:tr w:rsidR="00F96D03" w:rsidRPr="00B93529" w14:paraId="52BCCAAF" w14:textId="77777777" w:rsidTr="00806774">
        <w:tc>
          <w:tcPr>
            <w:tcW w:w="1692" w:type="dxa"/>
          </w:tcPr>
          <w:p w14:paraId="711BD611" w14:textId="77777777" w:rsidR="00F96D03" w:rsidRPr="00B93529" w:rsidRDefault="00F96D03" w:rsidP="00806774">
            <w:pPr>
              <w:suppressAutoHyphens/>
              <w:rPr>
                <w:sz w:val="22"/>
                <w:szCs w:val="22"/>
              </w:rPr>
            </w:pPr>
          </w:p>
        </w:tc>
        <w:tc>
          <w:tcPr>
            <w:tcW w:w="3951" w:type="dxa"/>
          </w:tcPr>
          <w:p w14:paraId="53F045BB" w14:textId="77777777" w:rsidR="00F96D03" w:rsidRPr="00B93529" w:rsidRDefault="00F96D03" w:rsidP="00806774">
            <w:pPr>
              <w:suppressAutoHyphens/>
              <w:rPr>
                <w:sz w:val="22"/>
                <w:szCs w:val="22"/>
              </w:rPr>
            </w:pPr>
          </w:p>
        </w:tc>
        <w:tc>
          <w:tcPr>
            <w:tcW w:w="3892" w:type="dxa"/>
          </w:tcPr>
          <w:p w14:paraId="43B00501" w14:textId="77777777" w:rsidR="00F96D03" w:rsidRPr="00B93529" w:rsidRDefault="00F96D03" w:rsidP="00806774">
            <w:pPr>
              <w:suppressAutoHyphens/>
              <w:rPr>
                <w:sz w:val="22"/>
                <w:szCs w:val="22"/>
              </w:rPr>
            </w:pPr>
          </w:p>
        </w:tc>
      </w:tr>
      <w:tr w:rsidR="00F96D03" w:rsidRPr="00B93529" w14:paraId="047DD50D" w14:textId="77777777" w:rsidTr="00806774">
        <w:tc>
          <w:tcPr>
            <w:tcW w:w="1692" w:type="dxa"/>
          </w:tcPr>
          <w:p w14:paraId="2FB874D1" w14:textId="77777777" w:rsidR="00F96D03" w:rsidRPr="00B93529" w:rsidRDefault="00F96D03" w:rsidP="00806774">
            <w:pPr>
              <w:suppressAutoHyphens/>
              <w:rPr>
                <w:sz w:val="22"/>
                <w:szCs w:val="22"/>
              </w:rPr>
            </w:pPr>
          </w:p>
        </w:tc>
        <w:tc>
          <w:tcPr>
            <w:tcW w:w="3951" w:type="dxa"/>
          </w:tcPr>
          <w:p w14:paraId="52663637" w14:textId="77777777" w:rsidR="00F96D03" w:rsidRPr="00B93529" w:rsidRDefault="00F96D03" w:rsidP="00806774">
            <w:pPr>
              <w:suppressAutoHyphens/>
              <w:rPr>
                <w:sz w:val="22"/>
                <w:szCs w:val="22"/>
              </w:rPr>
            </w:pPr>
          </w:p>
        </w:tc>
        <w:tc>
          <w:tcPr>
            <w:tcW w:w="3892" w:type="dxa"/>
          </w:tcPr>
          <w:p w14:paraId="363AAFFA" w14:textId="77777777" w:rsidR="00F96D03" w:rsidRPr="00B93529" w:rsidRDefault="00F96D03" w:rsidP="00806774">
            <w:pPr>
              <w:suppressAutoHyphens/>
              <w:rPr>
                <w:sz w:val="22"/>
                <w:szCs w:val="22"/>
              </w:rPr>
            </w:pPr>
          </w:p>
        </w:tc>
      </w:tr>
      <w:tr w:rsidR="00F96D03" w:rsidRPr="00B93529" w14:paraId="06D01DCC" w14:textId="77777777" w:rsidTr="00806774">
        <w:tc>
          <w:tcPr>
            <w:tcW w:w="1692" w:type="dxa"/>
          </w:tcPr>
          <w:p w14:paraId="6A631548" w14:textId="77777777" w:rsidR="00F96D03" w:rsidRPr="00B93529" w:rsidRDefault="00F96D03" w:rsidP="00806774">
            <w:pPr>
              <w:suppressAutoHyphens/>
              <w:rPr>
                <w:sz w:val="22"/>
                <w:szCs w:val="22"/>
              </w:rPr>
            </w:pPr>
          </w:p>
        </w:tc>
        <w:tc>
          <w:tcPr>
            <w:tcW w:w="3951" w:type="dxa"/>
          </w:tcPr>
          <w:p w14:paraId="763468E2" w14:textId="77777777" w:rsidR="00F96D03" w:rsidRPr="00B93529" w:rsidRDefault="00F96D03" w:rsidP="00806774">
            <w:pPr>
              <w:suppressAutoHyphens/>
              <w:rPr>
                <w:sz w:val="22"/>
                <w:szCs w:val="22"/>
              </w:rPr>
            </w:pPr>
          </w:p>
        </w:tc>
        <w:tc>
          <w:tcPr>
            <w:tcW w:w="3892" w:type="dxa"/>
          </w:tcPr>
          <w:p w14:paraId="53A89E5C" w14:textId="77777777" w:rsidR="00F96D03" w:rsidRPr="00B93529" w:rsidRDefault="00F96D03" w:rsidP="00806774">
            <w:pPr>
              <w:suppressAutoHyphens/>
              <w:rPr>
                <w:sz w:val="22"/>
                <w:szCs w:val="22"/>
              </w:rPr>
            </w:pPr>
          </w:p>
        </w:tc>
      </w:tr>
      <w:tr w:rsidR="00F96D03" w:rsidRPr="00B93529" w14:paraId="0DEF3660" w14:textId="77777777" w:rsidTr="00806774">
        <w:tc>
          <w:tcPr>
            <w:tcW w:w="1692" w:type="dxa"/>
          </w:tcPr>
          <w:p w14:paraId="7913BD93" w14:textId="77777777" w:rsidR="00F96D03" w:rsidRPr="00B93529" w:rsidRDefault="00F96D03" w:rsidP="00806774">
            <w:pPr>
              <w:suppressAutoHyphens/>
              <w:rPr>
                <w:sz w:val="22"/>
                <w:szCs w:val="22"/>
              </w:rPr>
            </w:pPr>
          </w:p>
        </w:tc>
        <w:tc>
          <w:tcPr>
            <w:tcW w:w="3951" w:type="dxa"/>
          </w:tcPr>
          <w:p w14:paraId="055C9F86" w14:textId="77777777" w:rsidR="00F96D03" w:rsidRPr="00B93529" w:rsidRDefault="00F96D03" w:rsidP="00806774">
            <w:pPr>
              <w:suppressAutoHyphens/>
              <w:rPr>
                <w:sz w:val="22"/>
                <w:szCs w:val="22"/>
              </w:rPr>
            </w:pPr>
          </w:p>
        </w:tc>
        <w:tc>
          <w:tcPr>
            <w:tcW w:w="3892" w:type="dxa"/>
          </w:tcPr>
          <w:p w14:paraId="4D60998B" w14:textId="77777777" w:rsidR="00F96D03" w:rsidRPr="00B93529" w:rsidRDefault="00F96D03" w:rsidP="00806774">
            <w:pPr>
              <w:suppressAutoHyphens/>
              <w:rPr>
                <w:sz w:val="22"/>
                <w:szCs w:val="22"/>
              </w:rPr>
            </w:pPr>
          </w:p>
        </w:tc>
      </w:tr>
    </w:tbl>
    <w:p w14:paraId="2D05C24A" w14:textId="77777777" w:rsidR="00F96D03" w:rsidRPr="00B93529" w:rsidRDefault="00F96D03" w:rsidP="00F96D03">
      <w:pPr>
        <w:suppressAutoHyphens/>
        <w:rPr>
          <w:sz w:val="22"/>
          <w:szCs w:val="22"/>
        </w:rPr>
      </w:pPr>
    </w:p>
    <w:p w14:paraId="50FB5A50" w14:textId="77777777" w:rsidR="00F96D03" w:rsidRPr="00B93529" w:rsidRDefault="00F96D03" w:rsidP="00F96D03">
      <w:pPr>
        <w:rPr>
          <w:sz w:val="22"/>
          <w:szCs w:val="22"/>
        </w:rPr>
      </w:pPr>
      <w:r w:rsidRPr="00B93529">
        <w:rPr>
          <w:b/>
          <w:sz w:val="22"/>
          <w:szCs w:val="22"/>
        </w:rPr>
        <w:t>Note: Use additional pages as necessary.</w:t>
      </w:r>
    </w:p>
    <w:p w14:paraId="55C48933" w14:textId="77777777" w:rsidR="00F96D03" w:rsidRDefault="00F96D03" w:rsidP="00F96D03">
      <w:pPr>
        <w:rPr>
          <w:rFonts w:ascii="Arial Black" w:hAnsi="Arial Black"/>
          <w:b/>
          <w:sz w:val="28"/>
          <w:szCs w:val="28"/>
        </w:rPr>
      </w:pPr>
    </w:p>
    <w:p w14:paraId="6FD05712" w14:textId="77777777" w:rsidR="00F96D03" w:rsidRDefault="00F96D03" w:rsidP="00F96D03">
      <w:pPr>
        <w:rPr>
          <w:rFonts w:ascii="Arial Black" w:hAnsi="Arial Black"/>
          <w:b/>
          <w:sz w:val="28"/>
          <w:szCs w:val="28"/>
        </w:rPr>
      </w:pPr>
    </w:p>
    <w:p w14:paraId="26A93CCF" w14:textId="77777777" w:rsidR="00F96D03" w:rsidRDefault="00F96D03">
      <w:pPr>
        <w:rPr>
          <w:rFonts w:ascii="Arial Black" w:hAnsi="Arial Black"/>
          <w:b/>
          <w:sz w:val="28"/>
          <w:szCs w:val="28"/>
        </w:rPr>
      </w:pPr>
      <w:r>
        <w:br w:type="page"/>
      </w:r>
    </w:p>
    <w:p w14:paraId="458EA0FF" w14:textId="77777777" w:rsidR="006D6145" w:rsidRDefault="006D6145" w:rsidP="00F13394">
      <w:pPr>
        <w:pStyle w:val="Heading4"/>
      </w:pPr>
      <w:r>
        <w:t>Attachment</w:t>
      </w:r>
      <w:r w:rsidRPr="00DD2A68">
        <w:t xml:space="preserve"> </w:t>
      </w:r>
      <w:r w:rsidR="00B6771F">
        <w:t>6</w:t>
      </w:r>
      <w:r>
        <w:t>:  Business References</w:t>
      </w:r>
    </w:p>
    <w:p w14:paraId="0BC341A3" w14:textId="77777777" w:rsidR="006D6145" w:rsidRPr="00F41FBE" w:rsidRDefault="006D6145" w:rsidP="006D6145">
      <w:pPr>
        <w:rPr>
          <w:sz w:val="20"/>
          <w:szCs w:val="20"/>
        </w:rPr>
      </w:pPr>
      <w:r w:rsidRPr="00F41FBE">
        <w:rPr>
          <w:sz w:val="20"/>
          <w:szCs w:val="20"/>
        </w:rPr>
        <w:t xml:space="preserve">CONTRACT NUMBER:  </w:t>
      </w:r>
      <w:r w:rsidR="00C66D98" w:rsidRPr="00CC34E6">
        <w:rPr>
          <w:sz w:val="20"/>
          <w:szCs w:val="20"/>
        </w:rPr>
        <w:t>TRE19202-LOCALBANKS</w:t>
      </w:r>
    </w:p>
    <w:p w14:paraId="5CB9CC60" w14:textId="77777777" w:rsidR="006D6145" w:rsidRPr="00E40F87" w:rsidRDefault="006D6145" w:rsidP="006D6145">
      <w:pPr>
        <w:rPr>
          <w:rFonts w:cs="Times New Roman"/>
          <w:b/>
          <w:spacing w:val="-3"/>
          <w:sz w:val="22"/>
          <w:lang w:eastAsia="x-none"/>
        </w:rPr>
      </w:pPr>
    </w:p>
    <w:p w14:paraId="5EE267A0" w14:textId="77777777" w:rsidR="006D6145" w:rsidRPr="009B53F8" w:rsidRDefault="006D6145" w:rsidP="006D6145">
      <w:pPr>
        <w:tabs>
          <w:tab w:val="left" w:pos="0"/>
        </w:tabs>
        <w:ind w:right="36"/>
        <w:jc w:val="both"/>
        <w:rPr>
          <w:rFonts w:cs="Times New Roman"/>
          <w:spacing w:val="-3"/>
          <w:sz w:val="22"/>
          <w:szCs w:val="22"/>
          <w:lang w:val="x-none" w:eastAsia="x-none"/>
        </w:rPr>
      </w:pPr>
      <w:r w:rsidRPr="009B53F8">
        <w:rPr>
          <w:rFonts w:cs="Times New Roman"/>
          <w:spacing w:val="-3"/>
          <w:sz w:val="22"/>
          <w:szCs w:val="22"/>
          <w:lang w:val="x-none" w:eastAsia="x-none"/>
        </w:rPr>
        <w:t>List a minimum of three business references, including the following information:</w:t>
      </w:r>
    </w:p>
    <w:p w14:paraId="2EAE3C6B"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Business Name and Mailing address</w:t>
      </w:r>
    </w:p>
    <w:p w14:paraId="6D509FCC"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Contact Name and phone number</w:t>
      </w:r>
    </w:p>
    <w:p w14:paraId="490F4786"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Number of years doing business with</w:t>
      </w:r>
    </w:p>
    <w:p w14:paraId="6A37C79A"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Type of work performed</w:t>
      </w:r>
    </w:p>
    <w:p w14:paraId="78F15CAC" w14:textId="77777777" w:rsidR="009B53F8" w:rsidRPr="009B53F8" w:rsidRDefault="009B53F8" w:rsidP="009B53F8">
      <w:pPr>
        <w:tabs>
          <w:tab w:val="left" w:pos="0"/>
        </w:tabs>
        <w:ind w:left="720"/>
        <w:jc w:val="both"/>
        <w:rPr>
          <w:rFonts w:cs="Times New Roman"/>
          <w:spacing w:val="-3"/>
          <w:sz w:val="22"/>
          <w:szCs w:val="22"/>
          <w:lang w:val="x-none" w:eastAsia="x-none"/>
        </w:rPr>
      </w:pPr>
    </w:p>
    <w:p w14:paraId="5E7D2ABE" w14:textId="77777777" w:rsidR="006D6145" w:rsidRPr="009B53F8" w:rsidRDefault="006D6145" w:rsidP="006D6145">
      <w:pPr>
        <w:tabs>
          <w:tab w:val="left" w:pos="0"/>
        </w:tabs>
        <w:ind w:right="36"/>
        <w:jc w:val="both"/>
        <w:rPr>
          <w:rFonts w:cs="Times New Roman"/>
          <w:spacing w:val="-3"/>
          <w:sz w:val="22"/>
          <w:szCs w:val="22"/>
          <w:lang w:val="x-none" w:eastAsia="x-none"/>
        </w:rPr>
      </w:pPr>
      <w:r w:rsidRPr="009B53F8">
        <w:rPr>
          <w:rFonts w:cs="Times New Roman"/>
          <w:spacing w:val="-3"/>
          <w:sz w:val="22"/>
          <w:szCs w:val="22"/>
          <w:lang w:val="x-none" w:eastAsia="x-none"/>
        </w:rPr>
        <w:t xml:space="preserve">Please do not list any State </w:t>
      </w:r>
      <w:r w:rsidRPr="009B53F8">
        <w:rPr>
          <w:rFonts w:cs="Times New Roman"/>
          <w:spacing w:val="-3"/>
          <w:sz w:val="22"/>
          <w:szCs w:val="22"/>
          <w:lang w:eastAsia="x-none"/>
        </w:rPr>
        <w:t xml:space="preserve">employee as a business reference. If you have held a State </w:t>
      </w:r>
      <w:r w:rsidRPr="009B53F8">
        <w:rPr>
          <w:rFonts w:cs="Times New Roman"/>
          <w:spacing w:val="-3"/>
          <w:sz w:val="22"/>
          <w:szCs w:val="22"/>
          <w:lang w:val="x-none" w:eastAsia="x-none"/>
        </w:rPr>
        <w:t xml:space="preserve">contract within the last 5 years, </w:t>
      </w:r>
      <w:r w:rsidRPr="009B53F8">
        <w:rPr>
          <w:rFonts w:cs="Times New Roman"/>
          <w:spacing w:val="-3"/>
          <w:sz w:val="22"/>
          <w:szCs w:val="22"/>
          <w:lang w:eastAsia="x-none"/>
        </w:rPr>
        <w:t xml:space="preserve">provide a separate </w:t>
      </w:r>
      <w:r w:rsidRPr="009B53F8">
        <w:rPr>
          <w:rFonts w:cs="Times New Roman"/>
          <w:spacing w:val="-3"/>
          <w:sz w:val="22"/>
          <w:szCs w:val="22"/>
          <w:lang w:val="x-none" w:eastAsia="x-none"/>
        </w:rPr>
        <w:t xml:space="preserve">list </w:t>
      </w:r>
      <w:r w:rsidRPr="009B53F8">
        <w:rPr>
          <w:rFonts w:cs="Times New Roman"/>
          <w:spacing w:val="-3"/>
          <w:sz w:val="22"/>
          <w:szCs w:val="22"/>
          <w:lang w:eastAsia="x-none"/>
        </w:rPr>
        <w:t xml:space="preserve">of </w:t>
      </w:r>
      <w:r w:rsidRPr="009B53F8">
        <w:rPr>
          <w:rFonts w:cs="Times New Roman"/>
          <w:spacing w:val="-3"/>
          <w:sz w:val="22"/>
          <w:szCs w:val="22"/>
          <w:lang w:val="x-none" w:eastAsia="x-none"/>
        </w:rPr>
        <w:t>the contract</w:t>
      </w:r>
      <w:r w:rsidRPr="009B53F8">
        <w:rPr>
          <w:rFonts w:cs="Times New Roman"/>
          <w:spacing w:val="-3"/>
          <w:sz w:val="22"/>
          <w:szCs w:val="22"/>
          <w:lang w:eastAsia="x-none"/>
        </w:rPr>
        <w:t>(s)</w:t>
      </w:r>
      <w:r w:rsidRPr="009B53F8">
        <w:rPr>
          <w:rFonts w:cs="Times New Roman"/>
          <w:spacing w:val="-3"/>
          <w:sz w:val="22"/>
          <w:szCs w:val="22"/>
          <w:lang w:val="x-none" w:eastAsia="x-none"/>
        </w:rPr>
        <w:t>.</w:t>
      </w:r>
    </w:p>
    <w:p w14:paraId="02DDA966" w14:textId="77777777" w:rsidR="006D6145" w:rsidRPr="009B53F8" w:rsidRDefault="006D6145" w:rsidP="006D6145">
      <w:pPr>
        <w:tabs>
          <w:tab w:val="left" w:pos="0"/>
        </w:tabs>
        <w:ind w:right="36"/>
        <w:rPr>
          <w:rFonts w:cs="Times New Roman"/>
          <w:spacing w:val="-3"/>
          <w:sz w:val="22"/>
          <w:szCs w:val="22"/>
          <w:lang w:val="x-none" w:eastAsia="x-none"/>
        </w:rPr>
      </w:pPr>
    </w:p>
    <w:tbl>
      <w:tblPr>
        <w:tblW w:w="9465" w:type="dxa"/>
        <w:tblInd w:w="93" w:type="dxa"/>
        <w:tblLook w:val="04A0" w:firstRow="1" w:lastRow="0" w:firstColumn="1" w:lastColumn="0" w:noHBand="0" w:noVBand="1"/>
      </w:tblPr>
      <w:tblGrid>
        <w:gridCol w:w="400"/>
        <w:gridCol w:w="3283"/>
        <w:gridCol w:w="1607"/>
        <w:gridCol w:w="1607"/>
        <w:gridCol w:w="2578"/>
      </w:tblGrid>
      <w:tr w:rsidR="006D6145" w:rsidRPr="009B53F8" w14:paraId="7BD8618C" w14:textId="77777777" w:rsidTr="00F6123F">
        <w:trPr>
          <w:trHeight w:val="233"/>
        </w:trPr>
        <w:tc>
          <w:tcPr>
            <w:tcW w:w="390" w:type="dxa"/>
            <w:tcBorders>
              <w:top w:val="nil"/>
              <w:left w:val="nil"/>
              <w:bottom w:val="nil"/>
              <w:right w:val="nil"/>
            </w:tcBorders>
            <w:shd w:val="clear" w:color="auto" w:fill="auto"/>
            <w:noWrap/>
            <w:vAlign w:val="bottom"/>
            <w:hideMark/>
          </w:tcPr>
          <w:p w14:paraId="0CB85086" w14:textId="77777777" w:rsidR="006D6145" w:rsidRPr="009B53F8" w:rsidRDefault="006D6145" w:rsidP="00F6123F">
            <w:pPr>
              <w:jc w:val="right"/>
              <w:rPr>
                <w:sz w:val="22"/>
                <w:szCs w:val="22"/>
              </w:rPr>
            </w:pPr>
            <w:r w:rsidRPr="009B53F8">
              <w:rPr>
                <w:sz w:val="22"/>
                <w:szCs w:val="22"/>
              </w:rPr>
              <w:t xml:space="preserve">1.  </w:t>
            </w:r>
          </w:p>
        </w:tc>
        <w:tc>
          <w:tcPr>
            <w:tcW w:w="3283" w:type="dxa"/>
            <w:tcBorders>
              <w:top w:val="nil"/>
              <w:left w:val="nil"/>
              <w:bottom w:val="nil"/>
              <w:right w:val="nil"/>
            </w:tcBorders>
            <w:shd w:val="clear" w:color="auto" w:fill="auto"/>
            <w:noWrap/>
            <w:vAlign w:val="bottom"/>
            <w:hideMark/>
          </w:tcPr>
          <w:p w14:paraId="15F5ED71" w14:textId="77777777" w:rsidR="006D6145" w:rsidRPr="009B53F8" w:rsidRDefault="006D6145" w:rsidP="00F6123F">
            <w:pPr>
              <w:jc w:val="right"/>
              <w:rPr>
                <w:b/>
                <w:bCs/>
                <w:sz w:val="22"/>
                <w:szCs w:val="22"/>
              </w:rPr>
            </w:pPr>
            <w:r w:rsidRPr="009B53F8">
              <w:rPr>
                <w:b/>
                <w:bCs/>
                <w:sz w:val="22"/>
                <w:szCs w:val="22"/>
              </w:rPr>
              <w:t xml:space="preserve">Contact Name &amp; Title: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2BA79" w14:textId="77777777" w:rsidR="006D6145" w:rsidRPr="009B53F8" w:rsidRDefault="006D6145" w:rsidP="00F6123F">
            <w:pPr>
              <w:rPr>
                <w:b/>
                <w:bCs/>
                <w:sz w:val="22"/>
                <w:szCs w:val="22"/>
              </w:rPr>
            </w:pPr>
            <w:r w:rsidRPr="009B53F8">
              <w:rPr>
                <w:b/>
                <w:bCs/>
                <w:sz w:val="22"/>
                <w:szCs w:val="22"/>
              </w:rPr>
              <w:t> </w:t>
            </w:r>
          </w:p>
        </w:tc>
      </w:tr>
      <w:tr w:rsidR="006D6145" w:rsidRPr="009B53F8" w14:paraId="09CF93CD" w14:textId="77777777" w:rsidTr="00F6123F">
        <w:trPr>
          <w:trHeight w:val="233"/>
        </w:trPr>
        <w:tc>
          <w:tcPr>
            <w:tcW w:w="390" w:type="dxa"/>
            <w:tcBorders>
              <w:top w:val="nil"/>
              <w:left w:val="nil"/>
              <w:bottom w:val="nil"/>
              <w:right w:val="nil"/>
            </w:tcBorders>
            <w:shd w:val="clear" w:color="auto" w:fill="auto"/>
            <w:noWrap/>
            <w:vAlign w:val="bottom"/>
            <w:hideMark/>
          </w:tcPr>
          <w:p w14:paraId="37233926" w14:textId="77777777" w:rsidR="006D6145" w:rsidRPr="009B53F8" w:rsidRDefault="006D6145" w:rsidP="00F6123F">
            <w:pPr>
              <w:jc w:val="right"/>
              <w:rPr>
                <w:sz w:val="22"/>
                <w:szCs w:val="22"/>
              </w:rPr>
            </w:pPr>
          </w:p>
        </w:tc>
        <w:tc>
          <w:tcPr>
            <w:tcW w:w="3283" w:type="dxa"/>
            <w:tcBorders>
              <w:top w:val="nil"/>
              <w:left w:val="nil"/>
              <w:bottom w:val="nil"/>
              <w:right w:val="nil"/>
            </w:tcBorders>
            <w:shd w:val="clear" w:color="auto" w:fill="auto"/>
            <w:noWrap/>
            <w:vAlign w:val="bottom"/>
            <w:hideMark/>
          </w:tcPr>
          <w:p w14:paraId="5D543DA5" w14:textId="77777777" w:rsidR="006D6145" w:rsidRPr="009B53F8" w:rsidRDefault="006D6145" w:rsidP="00F6123F">
            <w:pPr>
              <w:jc w:val="right"/>
              <w:rPr>
                <w:b/>
                <w:bCs/>
                <w:sz w:val="22"/>
                <w:szCs w:val="22"/>
              </w:rPr>
            </w:pPr>
            <w:r w:rsidRPr="009B53F8">
              <w:rPr>
                <w:b/>
                <w:bCs/>
                <w:sz w:val="22"/>
                <w:szCs w:val="22"/>
              </w:rPr>
              <w:t xml:space="preserve">Business Name: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CDD0CA" w14:textId="77777777" w:rsidR="006D6145" w:rsidRPr="009B53F8" w:rsidRDefault="006D6145" w:rsidP="00F6123F">
            <w:pPr>
              <w:rPr>
                <w:b/>
                <w:bCs/>
                <w:sz w:val="22"/>
                <w:szCs w:val="22"/>
              </w:rPr>
            </w:pPr>
            <w:r w:rsidRPr="009B53F8">
              <w:rPr>
                <w:b/>
                <w:bCs/>
                <w:sz w:val="22"/>
                <w:szCs w:val="22"/>
              </w:rPr>
              <w:t> </w:t>
            </w:r>
          </w:p>
        </w:tc>
      </w:tr>
      <w:tr w:rsidR="006D6145" w:rsidRPr="009B53F8" w14:paraId="1411420E" w14:textId="77777777" w:rsidTr="00F6123F">
        <w:trPr>
          <w:trHeight w:val="233"/>
        </w:trPr>
        <w:tc>
          <w:tcPr>
            <w:tcW w:w="390" w:type="dxa"/>
            <w:tcBorders>
              <w:top w:val="nil"/>
              <w:left w:val="nil"/>
              <w:bottom w:val="nil"/>
              <w:right w:val="nil"/>
            </w:tcBorders>
            <w:shd w:val="clear" w:color="auto" w:fill="auto"/>
            <w:noWrap/>
            <w:vAlign w:val="bottom"/>
            <w:hideMark/>
          </w:tcPr>
          <w:p w14:paraId="7B65DEB5" w14:textId="77777777" w:rsidR="006D6145" w:rsidRPr="009B53F8" w:rsidRDefault="006D6145" w:rsidP="00F6123F">
            <w:pPr>
              <w:jc w:val="right"/>
              <w:rPr>
                <w:sz w:val="22"/>
                <w:szCs w:val="22"/>
              </w:rPr>
            </w:pPr>
          </w:p>
        </w:tc>
        <w:tc>
          <w:tcPr>
            <w:tcW w:w="3283" w:type="dxa"/>
            <w:tcBorders>
              <w:top w:val="nil"/>
              <w:left w:val="nil"/>
              <w:bottom w:val="nil"/>
              <w:right w:val="nil"/>
            </w:tcBorders>
            <w:shd w:val="clear" w:color="auto" w:fill="auto"/>
            <w:noWrap/>
            <w:vAlign w:val="bottom"/>
            <w:hideMark/>
          </w:tcPr>
          <w:p w14:paraId="0E1DD1A6" w14:textId="77777777" w:rsidR="006D6145" w:rsidRPr="009B53F8" w:rsidRDefault="006D6145" w:rsidP="00F6123F">
            <w:pPr>
              <w:jc w:val="right"/>
              <w:rPr>
                <w:b/>
                <w:bCs/>
                <w:sz w:val="22"/>
                <w:szCs w:val="22"/>
              </w:rPr>
            </w:pPr>
            <w:r w:rsidRPr="009B53F8">
              <w:rPr>
                <w:b/>
                <w:bCs/>
                <w:sz w:val="22"/>
                <w:szCs w:val="22"/>
              </w:rPr>
              <w:t xml:space="preserve">Address: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08594" w14:textId="77777777" w:rsidR="006D6145" w:rsidRPr="009B53F8" w:rsidRDefault="006D6145" w:rsidP="00F6123F">
            <w:pPr>
              <w:rPr>
                <w:b/>
                <w:bCs/>
                <w:sz w:val="22"/>
                <w:szCs w:val="22"/>
              </w:rPr>
            </w:pPr>
            <w:r w:rsidRPr="009B53F8">
              <w:rPr>
                <w:b/>
                <w:bCs/>
                <w:sz w:val="22"/>
                <w:szCs w:val="22"/>
              </w:rPr>
              <w:t> </w:t>
            </w:r>
          </w:p>
        </w:tc>
      </w:tr>
      <w:tr w:rsidR="006D6145" w:rsidRPr="009B53F8" w14:paraId="1AE6C82D" w14:textId="77777777" w:rsidTr="00F6123F">
        <w:trPr>
          <w:trHeight w:val="233"/>
        </w:trPr>
        <w:tc>
          <w:tcPr>
            <w:tcW w:w="390" w:type="dxa"/>
            <w:tcBorders>
              <w:top w:val="nil"/>
              <w:left w:val="nil"/>
              <w:bottom w:val="nil"/>
              <w:right w:val="nil"/>
            </w:tcBorders>
            <w:shd w:val="clear" w:color="auto" w:fill="auto"/>
            <w:noWrap/>
            <w:vAlign w:val="bottom"/>
            <w:hideMark/>
          </w:tcPr>
          <w:p w14:paraId="751FCAE8"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FB80C7B" w14:textId="77777777" w:rsidR="006D6145" w:rsidRPr="009B53F8" w:rsidRDefault="006D6145" w:rsidP="00F6123F">
            <w:pPr>
              <w:jc w:val="right"/>
              <w:rPr>
                <w:b/>
                <w:bCs/>
                <w:sz w:val="22"/>
                <w:szCs w:val="22"/>
              </w:rPr>
            </w:pP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C3C199" w14:textId="77777777" w:rsidR="006D6145" w:rsidRPr="009B53F8" w:rsidRDefault="006D6145" w:rsidP="00F6123F">
            <w:pPr>
              <w:rPr>
                <w:b/>
                <w:bCs/>
                <w:sz w:val="22"/>
                <w:szCs w:val="22"/>
              </w:rPr>
            </w:pPr>
            <w:r w:rsidRPr="009B53F8">
              <w:rPr>
                <w:b/>
                <w:bCs/>
                <w:sz w:val="22"/>
                <w:szCs w:val="22"/>
              </w:rPr>
              <w:t> </w:t>
            </w:r>
          </w:p>
        </w:tc>
      </w:tr>
      <w:tr w:rsidR="006D6145" w:rsidRPr="009B53F8" w14:paraId="1D5F14C3" w14:textId="77777777" w:rsidTr="00F6123F">
        <w:trPr>
          <w:trHeight w:val="233"/>
        </w:trPr>
        <w:tc>
          <w:tcPr>
            <w:tcW w:w="390" w:type="dxa"/>
            <w:tcBorders>
              <w:top w:val="nil"/>
              <w:left w:val="nil"/>
              <w:bottom w:val="nil"/>
              <w:right w:val="nil"/>
            </w:tcBorders>
            <w:shd w:val="clear" w:color="auto" w:fill="auto"/>
            <w:noWrap/>
            <w:vAlign w:val="bottom"/>
            <w:hideMark/>
          </w:tcPr>
          <w:p w14:paraId="229A25AA"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EA3B0E5" w14:textId="77777777" w:rsidR="006D6145" w:rsidRPr="009B53F8" w:rsidRDefault="006D6145" w:rsidP="00F6123F">
            <w:pPr>
              <w:jc w:val="right"/>
              <w:rPr>
                <w:b/>
                <w:bCs/>
                <w:sz w:val="22"/>
                <w:szCs w:val="22"/>
              </w:rPr>
            </w:pPr>
            <w:r w:rsidRPr="009B53F8">
              <w:rPr>
                <w:b/>
                <w:bCs/>
                <w:sz w:val="22"/>
                <w:szCs w:val="22"/>
              </w:rPr>
              <w:t xml:space="preserve">Email: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5F544" w14:textId="77777777" w:rsidR="006D6145" w:rsidRPr="009B53F8" w:rsidRDefault="006D6145" w:rsidP="00F6123F">
            <w:pPr>
              <w:rPr>
                <w:b/>
                <w:bCs/>
                <w:sz w:val="22"/>
                <w:szCs w:val="22"/>
              </w:rPr>
            </w:pPr>
            <w:r w:rsidRPr="009B53F8">
              <w:rPr>
                <w:b/>
                <w:bCs/>
                <w:sz w:val="22"/>
                <w:szCs w:val="22"/>
              </w:rPr>
              <w:t> </w:t>
            </w:r>
          </w:p>
        </w:tc>
      </w:tr>
      <w:tr w:rsidR="006D6145" w:rsidRPr="009B53F8" w14:paraId="46B92291" w14:textId="77777777" w:rsidTr="00F6123F">
        <w:trPr>
          <w:trHeight w:val="233"/>
        </w:trPr>
        <w:tc>
          <w:tcPr>
            <w:tcW w:w="390" w:type="dxa"/>
            <w:tcBorders>
              <w:top w:val="nil"/>
              <w:left w:val="nil"/>
              <w:bottom w:val="nil"/>
              <w:right w:val="nil"/>
            </w:tcBorders>
            <w:shd w:val="clear" w:color="auto" w:fill="auto"/>
            <w:noWrap/>
            <w:vAlign w:val="bottom"/>
            <w:hideMark/>
          </w:tcPr>
          <w:p w14:paraId="63AC3542"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0841C8F" w14:textId="77777777" w:rsidR="006D6145" w:rsidRPr="009B53F8" w:rsidRDefault="006D6145" w:rsidP="00F6123F">
            <w:pPr>
              <w:jc w:val="right"/>
              <w:rPr>
                <w:b/>
                <w:bCs/>
                <w:sz w:val="22"/>
                <w:szCs w:val="22"/>
              </w:rPr>
            </w:pPr>
            <w:r w:rsidRPr="009B53F8">
              <w:rPr>
                <w:b/>
                <w:bCs/>
                <w:sz w:val="22"/>
                <w:szCs w:val="22"/>
              </w:rPr>
              <w:t xml:space="preserve">Phone # / Fax #:  </w:t>
            </w:r>
          </w:p>
        </w:tc>
        <w:tc>
          <w:tcPr>
            <w:tcW w:w="579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7489641" w14:textId="77777777" w:rsidR="006D6145" w:rsidRPr="009B53F8" w:rsidRDefault="006D6145" w:rsidP="00F6123F">
            <w:pPr>
              <w:rPr>
                <w:b/>
                <w:bCs/>
                <w:sz w:val="22"/>
                <w:szCs w:val="22"/>
              </w:rPr>
            </w:pPr>
            <w:r w:rsidRPr="009B53F8">
              <w:rPr>
                <w:b/>
                <w:bCs/>
                <w:sz w:val="22"/>
                <w:szCs w:val="22"/>
              </w:rPr>
              <w:t> </w:t>
            </w:r>
          </w:p>
        </w:tc>
      </w:tr>
      <w:tr w:rsidR="006D6145" w:rsidRPr="009B53F8" w14:paraId="4935BE06" w14:textId="77777777" w:rsidTr="00F6123F">
        <w:trPr>
          <w:trHeight w:val="233"/>
        </w:trPr>
        <w:tc>
          <w:tcPr>
            <w:tcW w:w="390" w:type="dxa"/>
            <w:tcBorders>
              <w:top w:val="nil"/>
              <w:left w:val="nil"/>
              <w:bottom w:val="nil"/>
              <w:right w:val="nil"/>
            </w:tcBorders>
            <w:shd w:val="clear" w:color="auto" w:fill="auto"/>
            <w:noWrap/>
            <w:vAlign w:val="bottom"/>
            <w:hideMark/>
          </w:tcPr>
          <w:p w14:paraId="476FDE2E"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29AB6BD2" w14:textId="77777777" w:rsidR="006D6145" w:rsidRPr="009B53F8" w:rsidRDefault="006D6145" w:rsidP="00F6123F">
            <w:pPr>
              <w:jc w:val="right"/>
              <w:rPr>
                <w:b/>
                <w:bCs/>
                <w:sz w:val="22"/>
                <w:szCs w:val="22"/>
              </w:rPr>
            </w:pPr>
            <w:r w:rsidRPr="009B53F8">
              <w:rPr>
                <w:b/>
                <w:bCs/>
                <w:sz w:val="22"/>
                <w:szCs w:val="22"/>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541A5A" w14:textId="77777777" w:rsidR="006D6145" w:rsidRPr="009B53F8" w:rsidRDefault="006D6145" w:rsidP="00F6123F">
            <w:pPr>
              <w:jc w:val="center"/>
              <w:rPr>
                <w:b/>
                <w:bCs/>
                <w:sz w:val="22"/>
                <w:szCs w:val="22"/>
              </w:rPr>
            </w:pPr>
            <w:r w:rsidRPr="009B53F8">
              <w:rPr>
                <w:b/>
                <w:bCs/>
                <w:sz w:val="22"/>
                <w:szCs w:val="22"/>
              </w:rPr>
              <w:t> </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14:paraId="2583B7FA" w14:textId="77777777" w:rsidR="006D6145" w:rsidRPr="009B53F8" w:rsidRDefault="006D6145" w:rsidP="00F6123F">
            <w:pPr>
              <w:rPr>
                <w:b/>
                <w:bCs/>
                <w:sz w:val="22"/>
                <w:szCs w:val="22"/>
              </w:rPr>
            </w:pPr>
            <w:r w:rsidRPr="009B53F8">
              <w:rPr>
                <w:b/>
                <w:bCs/>
                <w:sz w:val="22"/>
                <w:szCs w:val="22"/>
              </w:rPr>
              <w:t> </w:t>
            </w:r>
          </w:p>
        </w:tc>
      </w:tr>
      <w:tr w:rsidR="006D6145" w:rsidRPr="009B53F8" w14:paraId="75777583" w14:textId="77777777" w:rsidTr="00F6123F">
        <w:trPr>
          <w:trHeight w:val="479"/>
        </w:trPr>
        <w:tc>
          <w:tcPr>
            <w:tcW w:w="390" w:type="dxa"/>
            <w:tcBorders>
              <w:top w:val="nil"/>
              <w:left w:val="nil"/>
              <w:bottom w:val="nil"/>
              <w:right w:val="nil"/>
            </w:tcBorders>
            <w:shd w:val="clear" w:color="auto" w:fill="auto"/>
            <w:noWrap/>
            <w:vAlign w:val="bottom"/>
            <w:hideMark/>
          </w:tcPr>
          <w:p w14:paraId="2DC7BB9B"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6274F176" w14:textId="77777777" w:rsidR="006D6145" w:rsidRPr="009B53F8" w:rsidRDefault="006D6145" w:rsidP="00F6123F">
            <w:pPr>
              <w:jc w:val="right"/>
              <w:rPr>
                <w:b/>
                <w:bCs/>
                <w:sz w:val="22"/>
                <w:szCs w:val="22"/>
              </w:rPr>
            </w:pPr>
            <w:r w:rsidRPr="009B53F8">
              <w:rPr>
                <w:b/>
                <w:bCs/>
                <w:sz w:val="22"/>
                <w:szCs w:val="22"/>
              </w:rPr>
              <w:t xml:space="preserve">Years Associated &amp; Type of Work Performed: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B6038FF" w14:textId="77777777" w:rsidR="006D6145" w:rsidRPr="009B53F8" w:rsidRDefault="006D6145" w:rsidP="00F6123F">
            <w:pPr>
              <w:rPr>
                <w:b/>
                <w:bCs/>
                <w:sz w:val="22"/>
                <w:szCs w:val="22"/>
              </w:rPr>
            </w:pPr>
            <w:r w:rsidRPr="009B53F8">
              <w:rPr>
                <w:b/>
                <w:bCs/>
                <w:sz w:val="22"/>
                <w:szCs w:val="22"/>
              </w:rPr>
              <w:t> </w:t>
            </w:r>
          </w:p>
        </w:tc>
      </w:tr>
      <w:tr w:rsidR="006D6145" w:rsidRPr="009B53F8" w14:paraId="06B31689" w14:textId="77777777" w:rsidTr="009B53F8">
        <w:trPr>
          <w:trHeight w:val="70"/>
        </w:trPr>
        <w:tc>
          <w:tcPr>
            <w:tcW w:w="390" w:type="dxa"/>
            <w:tcBorders>
              <w:top w:val="nil"/>
              <w:left w:val="nil"/>
              <w:bottom w:val="nil"/>
              <w:right w:val="nil"/>
            </w:tcBorders>
            <w:shd w:val="clear" w:color="auto" w:fill="auto"/>
            <w:noWrap/>
            <w:vAlign w:val="bottom"/>
            <w:hideMark/>
          </w:tcPr>
          <w:p w14:paraId="02E40B7E"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1999FA4"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7D8E1943"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4F6C2980"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0380FE94" w14:textId="77777777" w:rsidR="006D6145" w:rsidRPr="009B53F8" w:rsidRDefault="006D6145" w:rsidP="00F6123F">
            <w:pPr>
              <w:rPr>
                <w:b/>
                <w:bCs/>
                <w:sz w:val="22"/>
                <w:szCs w:val="22"/>
              </w:rPr>
            </w:pPr>
          </w:p>
        </w:tc>
      </w:tr>
      <w:tr w:rsidR="006D6145" w:rsidRPr="009B53F8" w14:paraId="7756DADA" w14:textId="77777777" w:rsidTr="00F6123F">
        <w:trPr>
          <w:trHeight w:val="233"/>
        </w:trPr>
        <w:tc>
          <w:tcPr>
            <w:tcW w:w="390" w:type="dxa"/>
            <w:tcBorders>
              <w:top w:val="nil"/>
              <w:left w:val="nil"/>
              <w:bottom w:val="nil"/>
              <w:right w:val="nil"/>
            </w:tcBorders>
            <w:shd w:val="clear" w:color="auto" w:fill="auto"/>
            <w:noWrap/>
            <w:vAlign w:val="bottom"/>
            <w:hideMark/>
          </w:tcPr>
          <w:p w14:paraId="1F74440A"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4A62E4EF"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4EF59298"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3E05AF08"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7B188943" w14:textId="77777777" w:rsidR="006D6145" w:rsidRPr="009B53F8" w:rsidRDefault="006D6145" w:rsidP="00F6123F">
            <w:pPr>
              <w:rPr>
                <w:b/>
                <w:bCs/>
                <w:sz w:val="22"/>
                <w:szCs w:val="22"/>
              </w:rPr>
            </w:pPr>
          </w:p>
        </w:tc>
      </w:tr>
      <w:tr w:rsidR="006D6145" w:rsidRPr="009B53F8" w14:paraId="1852BF32" w14:textId="77777777" w:rsidTr="00F6123F">
        <w:trPr>
          <w:trHeight w:val="233"/>
        </w:trPr>
        <w:tc>
          <w:tcPr>
            <w:tcW w:w="390" w:type="dxa"/>
            <w:tcBorders>
              <w:top w:val="nil"/>
              <w:left w:val="nil"/>
              <w:bottom w:val="nil"/>
              <w:right w:val="nil"/>
            </w:tcBorders>
            <w:shd w:val="clear" w:color="auto" w:fill="auto"/>
            <w:noWrap/>
            <w:vAlign w:val="bottom"/>
            <w:hideMark/>
          </w:tcPr>
          <w:p w14:paraId="5A16E5CA" w14:textId="77777777" w:rsidR="006D6145" w:rsidRPr="009B53F8" w:rsidRDefault="006D6145" w:rsidP="00F6123F">
            <w:pPr>
              <w:jc w:val="right"/>
              <w:rPr>
                <w:sz w:val="22"/>
                <w:szCs w:val="22"/>
              </w:rPr>
            </w:pPr>
            <w:r w:rsidRPr="009B53F8">
              <w:rPr>
                <w:sz w:val="22"/>
                <w:szCs w:val="22"/>
              </w:rPr>
              <w:t xml:space="preserve">2.  </w:t>
            </w:r>
          </w:p>
        </w:tc>
        <w:tc>
          <w:tcPr>
            <w:tcW w:w="3283" w:type="dxa"/>
            <w:tcBorders>
              <w:top w:val="nil"/>
              <w:left w:val="nil"/>
              <w:bottom w:val="nil"/>
              <w:right w:val="nil"/>
            </w:tcBorders>
            <w:shd w:val="clear" w:color="auto" w:fill="auto"/>
            <w:noWrap/>
            <w:vAlign w:val="bottom"/>
            <w:hideMark/>
          </w:tcPr>
          <w:p w14:paraId="3B7A5551" w14:textId="77777777" w:rsidR="006D6145" w:rsidRPr="009B53F8" w:rsidRDefault="006D6145" w:rsidP="00F6123F">
            <w:pPr>
              <w:jc w:val="right"/>
              <w:rPr>
                <w:b/>
                <w:bCs/>
                <w:sz w:val="22"/>
                <w:szCs w:val="22"/>
              </w:rPr>
            </w:pPr>
            <w:r w:rsidRPr="009B53F8">
              <w:rPr>
                <w:b/>
                <w:bCs/>
                <w:sz w:val="22"/>
                <w:szCs w:val="22"/>
              </w:rPr>
              <w:t xml:space="preserve">Contact Name &amp; Title: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27E395" w14:textId="77777777" w:rsidR="006D6145" w:rsidRPr="009B53F8" w:rsidRDefault="006D6145" w:rsidP="00F6123F">
            <w:pPr>
              <w:rPr>
                <w:b/>
                <w:bCs/>
                <w:sz w:val="22"/>
                <w:szCs w:val="22"/>
              </w:rPr>
            </w:pPr>
            <w:r w:rsidRPr="009B53F8">
              <w:rPr>
                <w:b/>
                <w:bCs/>
                <w:sz w:val="22"/>
                <w:szCs w:val="22"/>
              </w:rPr>
              <w:t> </w:t>
            </w:r>
          </w:p>
        </w:tc>
      </w:tr>
      <w:tr w:rsidR="006D6145" w:rsidRPr="009B53F8" w14:paraId="27133851" w14:textId="77777777" w:rsidTr="00F6123F">
        <w:trPr>
          <w:trHeight w:val="233"/>
        </w:trPr>
        <w:tc>
          <w:tcPr>
            <w:tcW w:w="390" w:type="dxa"/>
            <w:tcBorders>
              <w:top w:val="nil"/>
              <w:left w:val="nil"/>
              <w:bottom w:val="nil"/>
              <w:right w:val="nil"/>
            </w:tcBorders>
            <w:shd w:val="clear" w:color="auto" w:fill="auto"/>
            <w:noWrap/>
            <w:vAlign w:val="bottom"/>
            <w:hideMark/>
          </w:tcPr>
          <w:p w14:paraId="397DA281"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3CFF154" w14:textId="77777777" w:rsidR="006D6145" w:rsidRPr="009B53F8" w:rsidRDefault="006D6145" w:rsidP="00F6123F">
            <w:pPr>
              <w:jc w:val="right"/>
              <w:rPr>
                <w:b/>
                <w:bCs/>
                <w:sz w:val="22"/>
                <w:szCs w:val="22"/>
              </w:rPr>
            </w:pPr>
            <w:r w:rsidRPr="009B53F8">
              <w:rPr>
                <w:b/>
                <w:bCs/>
                <w:sz w:val="22"/>
                <w:szCs w:val="22"/>
              </w:rPr>
              <w:t xml:space="preserve">Business Name: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9DB69" w14:textId="77777777" w:rsidR="006D6145" w:rsidRPr="009B53F8" w:rsidRDefault="006D6145" w:rsidP="00F6123F">
            <w:pPr>
              <w:rPr>
                <w:b/>
                <w:bCs/>
                <w:sz w:val="22"/>
                <w:szCs w:val="22"/>
              </w:rPr>
            </w:pPr>
            <w:r w:rsidRPr="009B53F8">
              <w:rPr>
                <w:b/>
                <w:bCs/>
                <w:sz w:val="22"/>
                <w:szCs w:val="22"/>
              </w:rPr>
              <w:t> </w:t>
            </w:r>
          </w:p>
        </w:tc>
      </w:tr>
      <w:tr w:rsidR="006D6145" w:rsidRPr="009B53F8" w14:paraId="29BC41D6" w14:textId="77777777" w:rsidTr="00F6123F">
        <w:trPr>
          <w:trHeight w:val="233"/>
        </w:trPr>
        <w:tc>
          <w:tcPr>
            <w:tcW w:w="390" w:type="dxa"/>
            <w:tcBorders>
              <w:top w:val="nil"/>
              <w:left w:val="nil"/>
              <w:bottom w:val="nil"/>
              <w:right w:val="nil"/>
            </w:tcBorders>
            <w:shd w:val="clear" w:color="auto" w:fill="auto"/>
            <w:noWrap/>
            <w:vAlign w:val="bottom"/>
            <w:hideMark/>
          </w:tcPr>
          <w:p w14:paraId="276447EE"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D283A65" w14:textId="77777777" w:rsidR="006D6145" w:rsidRPr="009B53F8" w:rsidRDefault="006D6145" w:rsidP="00F6123F">
            <w:pPr>
              <w:jc w:val="right"/>
              <w:rPr>
                <w:b/>
                <w:bCs/>
                <w:sz w:val="22"/>
                <w:szCs w:val="22"/>
              </w:rPr>
            </w:pPr>
            <w:r w:rsidRPr="009B53F8">
              <w:rPr>
                <w:b/>
                <w:bCs/>
                <w:sz w:val="22"/>
                <w:szCs w:val="22"/>
              </w:rPr>
              <w:t xml:space="preserve">Address: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512BB" w14:textId="77777777" w:rsidR="006D6145" w:rsidRPr="009B53F8" w:rsidRDefault="006D6145" w:rsidP="00F6123F">
            <w:pPr>
              <w:rPr>
                <w:b/>
                <w:bCs/>
                <w:sz w:val="22"/>
                <w:szCs w:val="22"/>
              </w:rPr>
            </w:pPr>
            <w:r w:rsidRPr="009B53F8">
              <w:rPr>
                <w:b/>
                <w:bCs/>
                <w:sz w:val="22"/>
                <w:szCs w:val="22"/>
              </w:rPr>
              <w:t> </w:t>
            </w:r>
          </w:p>
        </w:tc>
      </w:tr>
      <w:tr w:rsidR="006D6145" w:rsidRPr="009B53F8" w14:paraId="6094EBAB" w14:textId="77777777" w:rsidTr="00F6123F">
        <w:trPr>
          <w:trHeight w:val="233"/>
        </w:trPr>
        <w:tc>
          <w:tcPr>
            <w:tcW w:w="390" w:type="dxa"/>
            <w:tcBorders>
              <w:top w:val="nil"/>
              <w:left w:val="nil"/>
              <w:bottom w:val="nil"/>
              <w:right w:val="nil"/>
            </w:tcBorders>
            <w:shd w:val="clear" w:color="auto" w:fill="auto"/>
            <w:noWrap/>
            <w:vAlign w:val="bottom"/>
            <w:hideMark/>
          </w:tcPr>
          <w:p w14:paraId="36368788"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64FA4F9C" w14:textId="77777777" w:rsidR="006D6145" w:rsidRPr="009B53F8" w:rsidRDefault="006D6145" w:rsidP="00F6123F">
            <w:pPr>
              <w:jc w:val="right"/>
              <w:rPr>
                <w:b/>
                <w:bCs/>
                <w:sz w:val="22"/>
                <w:szCs w:val="22"/>
              </w:rPr>
            </w:pP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CD0064" w14:textId="77777777" w:rsidR="006D6145" w:rsidRPr="009B53F8" w:rsidRDefault="006D6145" w:rsidP="00F6123F">
            <w:pPr>
              <w:rPr>
                <w:b/>
                <w:bCs/>
                <w:sz w:val="22"/>
                <w:szCs w:val="22"/>
              </w:rPr>
            </w:pPr>
            <w:r w:rsidRPr="009B53F8">
              <w:rPr>
                <w:b/>
                <w:bCs/>
                <w:sz w:val="22"/>
                <w:szCs w:val="22"/>
              </w:rPr>
              <w:t> </w:t>
            </w:r>
          </w:p>
        </w:tc>
      </w:tr>
      <w:tr w:rsidR="006D6145" w:rsidRPr="009B53F8" w14:paraId="33CC881D" w14:textId="77777777" w:rsidTr="00F6123F">
        <w:trPr>
          <w:trHeight w:val="233"/>
        </w:trPr>
        <w:tc>
          <w:tcPr>
            <w:tcW w:w="390" w:type="dxa"/>
            <w:tcBorders>
              <w:top w:val="nil"/>
              <w:left w:val="nil"/>
              <w:bottom w:val="nil"/>
              <w:right w:val="nil"/>
            </w:tcBorders>
            <w:shd w:val="clear" w:color="auto" w:fill="auto"/>
            <w:noWrap/>
            <w:vAlign w:val="bottom"/>
            <w:hideMark/>
          </w:tcPr>
          <w:p w14:paraId="4C21FC53"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ED9E9FF" w14:textId="77777777" w:rsidR="006D6145" w:rsidRPr="009B53F8" w:rsidRDefault="006D6145" w:rsidP="00F6123F">
            <w:pPr>
              <w:jc w:val="right"/>
              <w:rPr>
                <w:b/>
                <w:bCs/>
                <w:sz w:val="22"/>
                <w:szCs w:val="22"/>
              </w:rPr>
            </w:pPr>
            <w:r w:rsidRPr="009B53F8">
              <w:rPr>
                <w:b/>
                <w:bCs/>
                <w:sz w:val="22"/>
                <w:szCs w:val="22"/>
              </w:rPr>
              <w:t xml:space="preserve">Email: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F2C06B" w14:textId="77777777" w:rsidR="006D6145" w:rsidRPr="009B53F8" w:rsidRDefault="006D6145" w:rsidP="00F6123F">
            <w:pPr>
              <w:rPr>
                <w:b/>
                <w:bCs/>
                <w:sz w:val="22"/>
                <w:szCs w:val="22"/>
              </w:rPr>
            </w:pPr>
            <w:r w:rsidRPr="009B53F8">
              <w:rPr>
                <w:b/>
                <w:bCs/>
                <w:sz w:val="22"/>
                <w:szCs w:val="22"/>
              </w:rPr>
              <w:t> </w:t>
            </w:r>
          </w:p>
        </w:tc>
      </w:tr>
      <w:tr w:rsidR="006D6145" w:rsidRPr="009B53F8" w14:paraId="5091B74A" w14:textId="77777777" w:rsidTr="00F6123F">
        <w:trPr>
          <w:trHeight w:val="233"/>
        </w:trPr>
        <w:tc>
          <w:tcPr>
            <w:tcW w:w="390" w:type="dxa"/>
            <w:tcBorders>
              <w:top w:val="nil"/>
              <w:left w:val="nil"/>
              <w:bottom w:val="nil"/>
              <w:right w:val="nil"/>
            </w:tcBorders>
            <w:shd w:val="clear" w:color="auto" w:fill="auto"/>
            <w:noWrap/>
            <w:vAlign w:val="bottom"/>
            <w:hideMark/>
          </w:tcPr>
          <w:p w14:paraId="488E7FB3"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DC5D497" w14:textId="77777777" w:rsidR="006D6145" w:rsidRPr="009B53F8" w:rsidRDefault="006D6145" w:rsidP="00F6123F">
            <w:pPr>
              <w:jc w:val="right"/>
              <w:rPr>
                <w:b/>
                <w:bCs/>
                <w:sz w:val="22"/>
                <w:szCs w:val="22"/>
              </w:rPr>
            </w:pPr>
            <w:r w:rsidRPr="009B53F8">
              <w:rPr>
                <w:b/>
                <w:bCs/>
                <w:sz w:val="22"/>
                <w:szCs w:val="22"/>
              </w:rPr>
              <w:t xml:space="preserve">Phone # / Fax #:  </w:t>
            </w:r>
          </w:p>
        </w:tc>
        <w:tc>
          <w:tcPr>
            <w:tcW w:w="579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979612C" w14:textId="77777777" w:rsidR="006D6145" w:rsidRPr="009B53F8" w:rsidRDefault="006D6145" w:rsidP="00F6123F">
            <w:pPr>
              <w:rPr>
                <w:b/>
                <w:bCs/>
                <w:sz w:val="22"/>
                <w:szCs w:val="22"/>
              </w:rPr>
            </w:pPr>
            <w:r w:rsidRPr="009B53F8">
              <w:rPr>
                <w:b/>
                <w:bCs/>
                <w:sz w:val="22"/>
                <w:szCs w:val="22"/>
              </w:rPr>
              <w:t> </w:t>
            </w:r>
          </w:p>
        </w:tc>
      </w:tr>
      <w:tr w:rsidR="006D6145" w:rsidRPr="009B53F8" w14:paraId="4DE316FC" w14:textId="77777777" w:rsidTr="00F6123F">
        <w:trPr>
          <w:trHeight w:val="233"/>
        </w:trPr>
        <w:tc>
          <w:tcPr>
            <w:tcW w:w="390" w:type="dxa"/>
            <w:tcBorders>
              <w:top w:val="nil"/>
              <w:left w:val="nil"/>
              <w:bottom w:val="nil"/>
              <w:right w:val="nil"/>
            </w:tcBorders>
            <w:shd w:val="clear" w:color="auto" w:fill="auto"/>
            <w:noWrap/>
            <w:vAlign w:val="bottom"/>
            <w:hideMark/>
          </w:tcPr>
          <w:p w14:paraId="013177B7"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61CA552F" w14:textId="77777777" w:rsidR="006D6145" w:rsidRPr="009B53F8" w:rsidRDefault="006D6145" w:rsidP="00F6123F">
            <w:pPr>
              <w:jc w:val="right"/>
              <w:rPr>
                <w:b/>
                <w:bCs/>
                <w:sz w:val="22"/>
                <w:szCs w:val="22"/>
              </w:rPr>
            </w:pPr>
            <w:r w:rsidRPr="009B53F8">
              <w:rPr>
                <w:b/>
                <w:bCs/>
                <w:sz w:val="22"/>
                <w:szCs w:val="22"/>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A32E4A3" w14:textId="77777777" w:rsidR="006D6145" w:rsidRPr="009B53F8" w:rsidRDefault="006D6145" w:rsidP="00F6123F">
            <w:pPr>
              <w:jc w:val="center"/>
              <w:rPr>
                <w:b/>
                <w:bCs/>
                <w:sz w:val="22"/>
                <w:szCs w:val="22"/>
              </w:rPr>
            </w:pPr>
            <w:r w:rsidRPr="009B53F8">
              <w:rPr>
                <w:b/>
                <w:bCs/>
                <w:sz w:val="22"/>
                <w:szCs w:val="22"/>
              </w:rPr>
              <w:t> </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14:paraId="7D7A0A1E" w14:textId="77777777" w:rsidR="006D6145" w:rsidRPr="009B53F8" w:rsidRDefault="006D6145" w:rsidP="00F6123F">
            <w:pPr>
              <w:rPr>
                <w:b/>
                <w:bCs/>
                <w:sz w:val="22"/>
                <w:szCs w:val="22"/>
              </w:rPr>
            </w:pPr>
            <w:r w:rsidRPr="009B53F8">
              <w:rPr>
                <w:b/>
                <w:bCs/>
                <w:sz w:val="22"/>
                <w:szCs w:val="22"/>
              </w:rPr>
              <w:t> </w:t>
            </w:r>
          </w:p>
        </w:tc>
      </w:tr>
      <w:tr w:rsidR="006D6145" w:rsidRPr="009B53F8" w14:paraId="3A82381C" w14:textId="77777777" w:rsidTr="00F6123F">
        <w:trPr>
          <w:trHeight w:val="409"/>
        </w:trPr>
        <w:tc>
          <w:tcPr>
            <w:tcW w:w="390" w:type="dxa"/>
            <w:tcBorders>
              <w:top w:val="nil"/>
              <w:left w:val="nil"/>
              <w:bottom w:val="nil"/>
              <w:right w:val="nil"/>
            </w:tcBorders>
            <w:shd w:val="clear" w:color="auto" w:fill="auto"/>
            <w:noWrap/>
            <w:vAlign w:val="bottom"/>
            <w:hideMark/>
          </w:tcPr>
          <w:p w14:paraId="1BF5A594"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39DDE50D" w14:textId="77777777" w:rsidR="006D6145" w:rsidRPr="009B53F8" w:rsidRDefault="006D6145" w:rsidP="00F6123F">
            <w:pPr>
              <w:jc w:val="right"/>
              <w:rPr>
                <w:b/>
                <w:bCs/>
                <w:sz w:val="22"/>
                <w:szCs w:val="22"/>
              </w:rPr>
            </w:pPr>
            <w:r w:rsidRPr="009B53F8">
              <w:rPr>
                <w:b/>
                <w:bCs/>
                <w:sz w:val="22"/>
                <w:szCs w:val="22"/>
              </w:rPr>
              <w:t xml:space="preserve">Years Associated &amp; Type of Work Performed: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0A8E5BD" w14:textId="77777777" w:rsidR="006D6145" w:rsidRPr="009B53F8" w:rsidRDefault="006D6145" w:rsidP="00F6123F">
            <w:pPr>
              <w:rPr>
                <w:b/>
                <w:bCs/>
                <w:sz w:val="22"/>
                <w:szCs w:val="22"/>
              </w:rPr>
            </w:pPr>
            <w:r w:rsidRPr="009B53F8">
              <w:rPr>
                <w:b/>
                <w:bCs/>
                <w:sz w:val="22"/>
                <w:szCs w:val="22"/>
              </w:rPr>
              <w:t> </w:t>
            </w:r>
          </w:p>
        </w:tc>
      </w:tr>
      <w:tr w:rsidR="006D6145" w:rsidRPr="009B53F8" w14:paraId="78939CAB" w14:textId="77777777" w:rsidTr="009B53F8">
        <w:trPr>
          <w:trHeight w:val="70"/>
        </w:trPr>
        <w:tc>
          <w:tcPr>
            <w:tcW w:w="390" w:type="dxa"/>
            <w:tcBorders>
              <w:top w:val="nil"/>
              <w:left w:val="nil"/>
              <w:bottom w:val="nil"/>
              <w:right w:val="nil"/>
            </w:tcBorders>
            <w:shd w:val="clear" w:color="auto" w:fill="auto"/>
            <w:noWrap/>
            <w:vAlign w:val="bottom"/>
            <w:hideMark/>
          </w:tcPr>
          <w:p w14:paraId="30AF69B5"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54770EEF"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7684B9EB"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5CDD5711"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32621A31" w14:textId="77777777" w:rsidR="006D6145" w:rsidRPr="009B53F8" w:rsidRDefault="006D6145" w:rsidP="00F6123F">
            <w:pPr>
              <w:rPr>
                <w:b/>
                <w:bCs/>
                <w:sz w:val="22"/>
                <w:szCs w:val="22"/>
              </w:rPr>
            </w:pPr>
          </w:p>
        </w:tc>
      </w:tr>
      <w:tr w:rsidR="006D6145" w:rsidRPr="009B53F8" w14:paraId="6B7E4C43" w14:textId="77777777" w:rsidTr="00F6123F">
        <w:trPr>
          <w:trHeight w:val="233"/>
        </w:trPr>
        <w:tc>
          <w:tcPr>
            <w:tcW w:w="390" w:type="dxa"/>
            <w:tcBorders>
              <w:top w:val="nil"/>
              <w:left w:val="nil"/>
              <w:bottom w:val="nil"/>
              <w:right w:val="nil"/>
            </w:tcBorders>
            <w:shd w:val="clear" w:color="auto" w:fill="auto"/>
            <w:noWrap/>
            <w:vAlign w:val="bottom"/>
            <w:hideMark/>
          </w:tcPr>
          <w:p w14:paraId="51EE4847"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D57A4E2"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665D4AD1"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240C102A"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7DD4E5BC" w14:textId="77777777" w:rsidR="006D6145" w:rsidRPr="009B53F8" w:rsidRDefault="006D6145" w:rsidP="00F6123F">
            <w:pPr>
              <w:rPr>
                <w:b/>
                <w:bCs/>
                <w:sz w:val="22"/>
                <w:szCs w:val="22"/>
              </w:rPr>
            </w:pPr>
          </w:p>
        </w:tc>
      </w:tr>
      <w:tr w:rsidR="006D6145" w:rsidRPr="009B53F8" w14:paraId="272E5F6D" w14:textId="77777777" w:rsidTr="00F6123F">
        <w:trPr>
          <w:trHeight w:val="233"/>
        </w:trPr>
        <w:tc>
          <w:tcPr>
            <w:tcW w:w="390" w:type="dxa"/>
            <w:tcBorders>
              <w:top w:val="nil"/>
              <w:left w:val="nil"/>
              <w:bottom w:val="nil"/>
              <w:right w:val="nil"/>
            </w:tcBorders>
            <w:shd w:val="clear" w:color="auto" w:fill="auto"/>
            <w:noWrap/>
            <w:vAlign w:val="bottom"/>
            <w:hideMark/>
          </w:tcPr>
          <w:p w14:paraId="6740A6FD" w14:textId="77777777" w:rsidR="006D6145" w:rsidRPr="009B53F8" w:rsidRDefault="006D6145" w:rsidP="00F6123F">
            <w:pPr>
              <w:jc w:val="right"/>
              <w:rPr>
                <w:sz w:val="22"/>
                <w:szCs w:val="22"/>
              </w:rPr>
            </w:pPr>
            <w:r w:rsidRPr="009B53F8">
              <w:rPr>
                <w:sz w:val="22"/>
                <w:szCs w:val="22"/>
              </w:rPr>
              <w:t xml:space="preserve">3.  </w:t>
            </w:r>
          </w:p>
        </w:tc>
        <w:tc>
          <w:tcPr>
            <w:tcW w:w="3283" w:type="dxa"/>
            <w:tcBorders>
              <w:top w:val="nil"/>
              <w:left w:val="nil"/>
              <w:bottom w:val="nil"/>
              <w:right w:val="nil"/>
            </w:tcBorders>
            <w:shd w:val="clear" w:color="auto" w:fill="auto"/>
            <w:noWrap/>
            <w:vAlign w:val="bottom"/>
            <w:hideMark/>
          </w:tcPr>
          <w:p w14:paraId="36533378" w14:textId="77777777" w:rsidR="006D6145" w:rsidRPr="009B53F8" w:rsidRDefault="006D6145" w:rsidP="00F6123F">
            <w:pPr>
              <w:jc w:val="right"/>
              <w:rPr>
                <w:b/>
                <w:bCs/>
                <w:sz w:val="22"/>
                <w:szCs w:val="22"/>
              </w:rPr>
            </w:pPr>
            <w:r w:rsidRPr="009B53F8">
              <w:rPr>
                <w:b/>
                <w:bCs/>
                <w:sz w:val="22"/>
                <w:szCs w:val="22"/>
              </w:rPr>
              <w:t xml:space="preserve">Contact Name &amp; Title: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EA4A3A" w14:textId="77777777" w:rsidR="006D6145" w:rsidRPr="009B53F8" w:rsidRDefault="006D6145" w:rsidP="00F6123F">
            <w:pPr>
              <w:rPr>
                <w:b/>
                <w:bCs/>
                <w:sz w:val="22"/>
                <w:szCs w:val="22"/>
              </w:rPr>
            </w:pPr>
            <w:r w:rsidRPr="009B53F8">
              <w:rPr>
                <w:b/>
                <w:bCs/>
                <w:sz w:val="22"/>
                <w:szCs w:val="22"/>
              </w:rPr>
              <w:t> </w:t>
            </w:r>
          </w:p>
        </w:tc>
      </w:tr>
      <w:tr w:rsidR="006D6145" w:rsidRPr="009B53F8" w14:paraId="0B958981" w14:textId="77777777" w:rsidTr="00F6123F">
        <w:trPr>
          <w:trHeight w:val="233"/>
        </w:trPr>
        <w:tc>
          <w:tcPr>
            <w:tcW w:w="390" w:type="dxa"/>
            <w:tcBorders>
              <w:top w:val="nil"/>
              <w:left w:val="nil"/>
              <w:bottom w:val="nil"/>
              <w:right w:val="nil"/>
            </w:tcBorders>
            <w:shd w:val="clear" w:color="auto" w:fill="auto"/>
            <w:noWrap/>
            <w:vAlign w:val="bottom"/>
            <w:hideMark/>
          </w:tcPr>
          <w:p w14:paraId="390F8F99"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504A07F" w14:textId="77777777" w:rsidR="006D6145" w:rsidRPr="009B53F8" w:rsidRDefault="006D6145" w:rsidP="00F6123F">
            <w:pPr>
              <w:jc w:val="right"/>
              <w:rPr>
                <w:b/>
                <w:bCs/>
                <w:sz w:val="22"/>
                <w:szCs w:val="22"/>
              </w:rPr>
            </w:pPr>
            <w:r w:rsidRPr="009B53F8">
              <w:rPr>
                <w:b/>
                <w:bCs/>
                <w:sz w:val="22"/>
                <w:szCs w:val="22"/>
              </w:rPr>
              <w:t xml:space="preserve">Business Name: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8DFFA7" w14:textId="77777777" w:rsidR="006D6145" w:rsidRPr="009B53F8" w:rsidRDefault="006D6145" w:rsidP="00F6123F">
            <w:pPr>
              <w:rPr>
                <w:b/>
                <w:bCs/>
                <w:sz w:val="22"/>
                <w:szCs w:val="22"/>
              </w:rPr>
            </w:pPr>
            <w:r w:rsidRPr="009B53F8">
              <w:rPr>
                <w:b/>
                <w:bCs/>
                <w:sz w:val="22"/>
                <w:szCs w:val="22"/>
              </w:rPr>
              <w:t> </w:t>
            </w:r>
          </w:p>
        </w:tc>
      </w:tr>
      <w:tr w:rsidR="006D6145" w:rsidRPr="009B53F8" w14:paraId="30D15E6E" w14:textId="77777777" w:rsidTr="00F6123F">
        <w:trPr>
          <w:trHeight w:val="233"/>
        </w:trPr>
        <w:tc>
          <w:tcPr>
            <w:tcW w:w="390" w:type="dxa"/>
            <w:tcBorders>
              <w:top w:val="nil"/>
              <w:left w:val="nil"/>
              <w:bottom w:val="nil"/>
              <w:right w:val="nil"/>
            </w:tcBorders>
            <w:shd w:val="clear" w:color="auto" w:fill="auto"/>
            <w:noWrap/>
            <w:vAlign w:val="bottom"/>
            <w:hideMark/>
          </w:tcPr>
          <w:p w14:paraId="02C8D98E"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E4EDF32" w14:textId="77777777" w:rsidR="006D6145" w:rsidRPr="009B53F8" w:rsidRDefault="006D6145" w:rsidP="00F6123F">
            <w:pPr>
              <w:jc w:val="right"/>
              <w:rPr>
                <w:b/>
                <w:bCs/>
                <w:sz w:val="22"/>
                <w:szCs w:val="22"/>
              </w:rPr>
            </w:pPr>
            <w:r w:rsidRPr="009B53F8">
              <w:rPr>
                <w:b/>
                <w:bCs/>
                <w:sz w:val="22"/>
                <w:szCs w:val="22"/>
              </w:rPr>
              <w:t xml:space="preserve">Address: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D56D5C" w14:textId="77777777" w:rsidR="006D6145" w:rsidRPr="009B53F8" w:rsidRDefault="006D6145" w:rsidP="00F6123F">
            <w:pPr>
              <w:rPr>
                <w:b/>
                <w:bCs/>
                <w:sz w:val="22"/>
                <w:szCs w:val="22"/>
              </w:rPr>
            </w:pPr>
            <w:r w:rsidRPr="009B53F8">
              <w:rPr>
                <w:b/>
                <w:bCs/>
                <w:sz w:val="22"/>
                <w:szCs w:val="22"/>
              </w:rPr>
              <w:t> </w:t>
            </w:r>
          </w:p>
        </w:tc>
      </w:tr>
      <w:tr w:rsidR="006D6145" w:rsidRPr="009B53F8" w14:paraId="6AC7F687" w14:textId="77777777" w:rsidTr="00F6123F">
        <w:trPr>
          <w:trHeight w:val="233"/>
        </w:trPr>
        <w:tc>
          <w:tcPr>
            <w:tcW w:w="390" w:type="dxa"/>
            <w:tcBorders>
              <w:top w:val="nil"/>
              <w:left w:val="nil"/>
              <w:bottom w:val="nil"/>
              <w:right w:val="nil"/>
            </w:tcBorders>
            <w:shd w:val="clear" w:color="auto" w:fill="auto"/>
            <w:noWrap/>
            <w:vAlign w:val="bottom"/>
            <w:hideMark/>
          </w:tcPr>
          <w:p w14:paraId="6B206D09"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603F29F" w14:textId="77777777" w:rsidR="006D6145" w:rsidRPr="009B53F8" w:rsidRDefault="006D6145" w:rsidP="00F6123F">
            <w:pPr>
              <w:jc w:val="right"/>
              <w:rPr>
                <w:b/>
                <w:bCs/>
                <w:sz w:val="22"/>
                <w:szCs w:val="22"/>
              </w:rPr>
            </w:pP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F9D71" w14:textId="77777777" w:rsidR="006D6145" w:rsidRPr="009B53F8" w:rsidRDefault="006D6145" w:rsidP="00F6123F">
            <w:pPr>
              <w:rPr>
                <w:b/>
                <w:bCs/>
                <w:sz w:val="22"/>
                <w:szCs w:val="22"/>
              </w:rPr>
            </w:pPr>
            <w:r w:rsidRPr="009B53F8">
              <w:rPr>
                <w:b/>
                <w:bCs/>
                <w:sz w:val="22"/>
                <w:szCs w:val="22"/>
              </w:rPr>
              <w:t> </w:t>
            </w:r>
          </w:p>
        </w:tc>
      </w:tr>
      <w:tr w:rsidR="006D6145" w:rsidRPr="009B53F8" w14:paraId="58EB332B" w14:textId="77777777" w:rsidTr="00F6123F">
        <w:trPr>
          <w:trHeight w:val="233"/>
        </w:trPr>
        <w:tc>
          <w:tcPr>
            <w:tcW w:w="390" w:type="dxa"/>
            <w:tcBorders>
              <w:top w:val="nil"/>
              <w:left w:val="nil"/>
              <w:bottom w:val="nil"/>
              <w:right w:val="nil"/>
            </w:tcBorders>
            <w:shd w:val="clear" w:color="auto" w:fill="auto"/>
            <w:noWrap/>
            <w:vAlign w:val="bottom"/>
            <w:hideMark/>
          </w:tcPr>
          <w:p w14:paraId="14498A43"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449F17F" w14:textId="77777777" w:rsidR="006D6145" w:rsidRPr="009B53F8" w:rsidRDefault="006D6145" w:rsidP="00F6123F">
            <w:pPr>
              <w:jc w:val="right"/>
              <w:rPr>
                <w:b/>
                <w:bCs/>
                <w:sz w:val="22"/>
                <w:szCs w:val="22"/>
              </w:rPr>
            </w:pPr>
            <w:r w:rsidRPr="009B53F8">
              <w:rPr>
                <w:b/>
                <w:bCs/>
                <w:sz w:val="22"/>
                <w:szCs w:val="22"/>
              </w:rPr>
              <w:t xml:space="preserve">Email: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C28815" w14:textId="77777777" w:rsidR="006D6145" w:rsidRPr="009B53F8" w:rsidRDefault="006D6145" w:rsidP="00F6123F">
            <w:pPr>
              <w:rPr>
                <w:b/>
                <w:bCs/>
                <w:sz w:val="22"/>
                <w:szCs w:val="22"/>
              </w:rPr>
            </w:pPr>
            <w:r w:rsidRPr="009B53F8">
              <w:rPr>
                <w:b/>
                <w:bCs/>
                <w:sz w:val="22"/>
                <w:szCs w:val="22"/>
              </w:rPr>
              <w:t> </w:t>
            </w:r>
          </w:p>
        </w:tc>
      </w:tr>
      <w:tr w:rsidR="006D6145" w:rsidRPr="009B53F8" w14:paraId="4799D81C" w14:textId="77777777" w:rsidTr="00F6123F">
        <w:trPr>
          <w:trHeight w:val="233"/>
        </w:trPr>
        <w:tc>
          <w:tcPr>
            <w:tcW w:w="390" w:type="dxa"/>
            <w:tcBorders>
              <w:top w:val="nil"/>
              <w:left w:val="nil"/>
              <w:bottom w:val="nil"/>
              <w:right w:val="nil"/>
            </w:tcBorders>
            <w:shd w:val="clear" w:color="auto" w:fill="auto"/>
            <w:noWrap/>
            <w:vAlign w:val="bottom"/>
            <w:hideMark/>
          </w:tcPr>
          <w:p w14:paraId="5216D289"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097AA69" w14:textId="77777777" w:rsidR="006D6145" w:rsidRPr="009B53F8" w:rsidRDefault="006D6145" w:rsidP="00F6123F">
            <w:pPr>
              <w:jc w:val="right"/>
              <w:rPr>
                <w:b/>
                <w:bCs/>
                <w:sz w:val="22"/>
                <w:szCs w:val="22"/>
              </w:rPr>
            </w:pPr>
            <w:r w:rsidRPr="009B53F8">
              <w:rPr>
                <w:b/>
                <w:bCs/>
                <w:sz w:val="22"/>
                <w:szCs w:val="22"/>
              </w:rPr>
              <w:t xml:space="preserve">Phone # / Fax #:  </w:t>
            </w:r>
          </w:p>
        </w:tc>
        <w:tc>
          <w:tcPr>
            <w:tcW w:w="579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715369" w14:textId="77777777" w:rsidR="006D6145" w:rsidRPr="009B53F8" w:rsidRDefault="006D6145" w:rsidP="00F6123F">
            <w:pPr>
              <w:rPr>
                <w:b/>
                <w:bCs/>
                <w:sz w:val="22"/>
                <w:szCs w:val="22"/>
              </w:rPr>
            </w:pPr>
            <w:r w:rsidRPr="009B53F8">
              <w:rPr>
                <w:b/>
                <w:bCs/>
                <w:sz w:val="22"/>
                <w:szCs w:val="22"/>
              </w:rPr>
              <w:t> </w:t>
            </w:r>
          </w:p>
        </w:tc>
      </w:tr>
      <w:tr w:rsidR="006D6145" w:rsidRPr="009B53F8" w14:paraId="4BA20053" w14:textId="77777777" w:rsidTr="00F6123F">
        <w:trPr>
          <w:trHeight w:val="233"/>
        </w:trPr>
        <w:tc>
          <w:tcPr>
            <w:tcW w:w="390" w:type="dxa"/>
            <w:tcBorders>
              <w:top w:val="nil"/>
              <w:left w:val="nil"/>
              <w:bottom w:val="nil"/>
              <w:right w:val="nil"/>
            </w:tcBorders>
            <w:shd w:val="clear" w:color="auto" w:fill="auto"/>
            <w:noWrap/>
            <w:vAlign w:val="bottom"/>
            <w:hideMark/>
          </w:tcPr>
          <w:p w14:paraId="74047266"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9A5B727" w14:textId="77777777" w:rsidR="006D6145" w:rsidRPr="009B53F8" w:rsidRDefault="006D6145" w:rsidP="00F6123F">
            <w:pPr>
              <w:jc w:val="right"/>
              <w:rPr>
                <w:b/>
                <w:bCs/>
                <w:sz w:val="22"/>
                <w:szCs w:val="22"/>
              </w:rPr>
            </w:pPr>
            <w:r w:rsidRPr="009B53F8">
              <w:rPr>
                <w:b/>
                <w:bCs/>
                <w:sz w:val="22"/>
                <w:szCs w:val="22"/>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15703600" w14:textId="77777777" w:rsidR="006D6145" w:rsidRPr="009B53F8" w:rsidRDefault="006D6145" w:rsidP="00F6123F">
            <w:pPr>
              <w:jc w:val="center"/>
              <w:rPr>
                <w:b/>
                <w:bCs/>
                <w:sz w:val="22"/>
                <w:szCs w:val="22"/>
              </w:rPr>
            </w:pPr>
            <w:r w:rsidRPr="009B53F8">
              <w:rPr>
                <w:b/>
                <w:bCs/>
                <w:sz w:val="22"/>
                <w:szCs w:val="22"/>
              </w:rPr>
              <w:t> </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14:paraId="0CD467E2" w14:textId="77777777" w:rsidR="006D6145" w:rsidRPr="009B53F8" w:rsidRDefault="006D6145" w:rsidP="00F6123F">
            <w:pPr>
              <w:rPr>
                <w:b/>
                <w:bCs/>
                <w:sz w:val="22"/>
                <w:szCs w:val="22"/>
              </w:rPr>
            </w:pPr>
            <w:r w:rsidRPr="009B53F8">
              <w:rPr>
                <w:b/>
                <w:bCs/>
                <w:sz w:val="22"/>
                <w:szCs w:val="22"/>
              </w:rPr>
              <w:t> </w:t>
            </w:r>
          </w:p>
        </w:tc>
      </w:tr>
      <w:tr w:rsidR="006D6145" w:rsidRPr="009B53F8" w14:paraId="141D1FFB" w14:textId="77777777" w:rsidTr="00F6123F">
        <w:trPr>
          <w:trHeight w:val="409"/>
        </w:trPr>
        <w:tc>
          <w:tcPr>
            <w:tcW w:w="390" w:type="dxa"/>
            <w:tcBorders>
              <w:top w:val="nil"/>
              <w:left w:val="nil"/>
              <w:bottom w:val="nil"/>
              <w:right w:val="nil"/>
            </w:tcBorders>
            <w:shd w:val="clear" w:color="auto" w:fill="auto"/>
            <w:noWrap/>
            <w:vAlign w:val="bottom"/>
            <w:hideMark/>
          </w:tcPr>
          <w:p w14:paraId="20F344F9"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2FA9CF9D" w14:textId="77777777" w:rsidR="006D6145" w:rsidRPr="009B53F8" w:rsidRDefault="006D6145" w:rsidP="00F6123F">
            <w:pPr>
              <w:jc w:val="right"/>
              <w:rPr>
                <w:b/>
                <w:bCs/>
                <w:sz w:val="22"/>
                <w:szCs w:val="22"/>
              </w:rPr>
            </w:pPr>
            <w:r w:rsidRPr="009B53F8">
              <w:rPr>
                <w:b/>
                <w:bCs/>
                <w:sz w:val="22"/>
                <w:szCs w:val="22"/>
              </w:rPr>
              <w:t xml:space="preserve">Years Associated &amp; Type of Work Performed: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08E74A2" w14:textId="77777777" w:rsidR="006D6145" w:rsidRPr="009B53F8" w:rsidRDefault="006D6145" w:rsidP="00F6123F">
            <w:pPr>
              <w:rPr>
                <w:b/>
                <w:bCs/>
                <w:sz w:val="22"/>
                <w:szCs w:val="22"/>
              </w:rPr>
            </w:pPr>
            <w:r w:rsidRPr="009B53F8">
              <w:rPr>
                <w:b/>
                <w:bCs/>
                <w:sz w:val="22"/>
                <w:szCs w:val="22"/>
              </w:rPr>
              <w:t> </w:t>
            </w:r>
          </w:p>
        </w:tc>
      </w:tr>
    </w:tbl>
    <w:p w14:paraId="3C608B58" w14:textId="77777777" w:rsidR="006D6145" w:rsidRPr="009B53F8" w:rsidRDefault="006D6145" w:rsidP="004B0819">
      <w:pPr>
        <w:rPr>
          <w:rFonts w:ascii="Arial Black" w:hAnsi="Arial Black"/>
          <w:b/>
        </w:rPr>
      </w:pPr>
    </w:p>
    <w:p w14:paraId="5ECE7A6C" w14:textId="77777777" w:rsidR="006D6145" w:rsidRPr="009B53F8" w:rsidRDefault="006D6145" w:rsidP="004B0819">
      <w:pPr>
        <w:rPr>
          <w:rFonts w:ascii="Arial Black" w:hAnsi="Arial Black"/>
          <w:b/>
        </w:rPr>
      </w:pPr>
    </w:p>
    <w:p w14:paraId="323B57B4" w14:textId="77777777" w:rsidR="00C9211B" w:rsidRDefault="00C9211B">
      <w:pPr>
        <w:rPr>
          <w:b/>
          <w:sz w:val="22"/>
          <w:szCs w:val="22"/>
        </w:rPr>
      </w:pPr>
    </w:p>
    <w:p w14:paraId="29A05F65" w14:textId="77777777" w:rsidR="00C9211B" w:rsidRDefault="00C9211B">
      <w:pPr>
        <w:rPr>
          <w:b/>
          <w:sz w:val="22"/>
          <w:szCs w:val="22"/>
        </w:rPr>
      </w:pPr>
    </w:p>
    <w:p w14:paraId="087878B7" w14:textId="77777777" w:rsidR="00C9211B" w:rsidRDefault="00C9211B">
      <w:pPr>
        <w:rPr>
          <w:b/>
          <w:sz w:val="22"/>
          <w:szCs w:val="22"/>
        </w:rPr>
      </w:pPr>
    </w:p>
    <w:p w14:paraId="10BBC1DA" w14:textId="77777777" w:rsidR="00C9211B" w:rsidRDefault="00C9211B">
      <w:pPr>
        <w:rPr>
          <w:b/>
          <w:sz w:val="22"/>
          <w:szCs w:val="22"/>
        </w:rPr>
      </w:pPr>
    </w:p>
    <w:p w14:paraId="0E08729C" w14:textId="77777777" w:rsidR="000E1AB9" w:rsidRDefault="000E1AB9">
      <w:pPr>
        <w:rPr>
          <w:rFonts w:ascii="Arial Black" w:hAnsi="Arial Black"/>
          <w:b/>
          <w:sz w:val="28"/>
          <w:szCs w:val="28"/>
        </w:rPr>
      </w:pPr>
    </w:p>
    <w:p w14:paraId="752176CD" w14:textId="77777777" w:rsidR="004B0819" w:rsidRDefault="004B0819" w:rsidP="00A75B83">
      <w:pPr>
        <w:pStyle w:val="Heading4"/>
      </w:pPr>
      <w:r>
        <w:t xml:space="preserve">Attachment </w:t>
      </w:r>
      <w:r w:rsidR="00B6771F">
        <w:t>7</w:t>
      </w:r>
      <w:r>
        <w:t>:  Non-collusion Statement</w:t>
      </w:r>
    </w:p>
    <w:p w14:paraId="1FD79627" w14:textId="77777777" w:rsidR="004B0819" w:rsidRPr="00F41FBE" w:rsidRDefault="004B0819" w:rsidP="004B0819">
      <w:pPr>
        <w:rPr>
          <w:sz w:val="20"/>
          <w:szCs w:val="20"/>
        </w:rPr>
      </w:pPr>
      <w:r w:rsidRPr="00F41FBE">
        <w:rPr>
          <w:sz w:val="20"/>
          <w:szCs w:val="20"/>
        </w:rPr>
        <w:t>CONTRACT NUMBER:</w:t>
      </w:r>
      <w:r w:rsidRPr="00F41FBE">
        <w:rPr>
          <w:sz w:val="20"/>
          <w:szCs w:val="20"/>
        </w:rPr>
        <w:tab/>
      </w:r>
      <w:r w:rsidR="00BE2B86" w:rsidRPr="00CC34E6">
        <w:rPr>
          <w:sz w:val="20"/>
          <w:szCs w:val="20"/>
        </w:rPr>
        <w:t>TRE19202-LOCALBANKS</w:t>
      </w:r>
    </w:p>
    <w:p w14:paraId="2CA81D6D" w14:textId="77777777" w:rsidR="004B0819" w:rsidRDefault="004B0819" w:rsidP="004B08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tab/>
      </w:r>
    </w:p>
    <w:p w14:paraId="487DAE79" w14:textId="6E42BBAB" w:rsidR="002F5648" w:rsidRPr="00D202B5" w:rsidRDefault="002F5648" w:rsidP="002F564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b/>
          <w:sz w:val="20"/>
          <w:szCs w:val="20"/>
        </w:rPr>
      </w:pPr>
      <w:r w:rsidRPr="00D202B5">
        <w:rPr>
          <w:rFonts w:cs="Times New Roman"/>
          <w:b/>
          <w:sz w:val="20"/>
          <w:szCs w:val="20"/>
        </w:rPr>
        <w:t xml:space="preserve">CONTRACT NO.: </w:t>
      </w:r>
      <w:r w:rsidR="00BE2B86">
        <w:rPr>
          <w:rFonts w:cs="Times New Roman"/>
          <w:b/>
          <w:sz w:val="20"/>
          <w:szCs w:val="20"/>
          <w:highlight w:val="lightGray"/>
        </w:rPr>
        <w:t>TRE19202-LOCALBANKS</w:t>
      </w:r>
      <w:r w:rsidR="00364837">
        <w:rPr>
          <w:rFonts w:cs="Times New Roman"/>
          <w:b/>
          <w:sz w:val="20"/>
          <w:szCs w:val="20"/>
        </w:rPr>
        <w:t xml:space="preserve">    </w:t>
      </w:r>
      <w:r w:rsidRPr="00D202B5">
        <w:rPr>
          <w:rFonts w:cs="Times New Roman"/>
          <w:b/>
          <w:sz w:val="20"/>
          <w:szCs w:val="20"/>
        </w:rPr>
        <w:t xml:space="preserve">TITLE: </w:t>
      </w:r>
      <w:r w:rsidR="00364837" w:rsidRPr="00364837">
        <w:rPr>
          <w:rFonts w:cs="Times New Roman"/>
          <w:b/>
          <w:sz w:val="20"/>
          <w:szCs w:val="20"/>
        </w:rPr>
        <w:t>Professional Services (Local Branch Banking)</w:t>
      </w:r>
      <w:r w:rsidRPr="00364837">
        <w:rPr>
          <w:rFonts w:cs="Times New Roman"/>
          <w:b/>
          <w:sz w:val="20"/>
          <w:szCs w:val="20"/>
        </w:rPr>
        <w:t xml:space="preserve"> </w:t>
      </w:r>
      <w:r w:rsidRPr="00D202B5">
        <w:rPr>
          <w:rFonts w:cs="Times New Roman"/>
          <w:b/>
          <w:sz w:val="20"/>
          <w:szCs w:val="20"/>
        </w:rPr>
        <w:fldChar w:fldCharType="begin"/>
      </w:r>
      <w:r w:rsidRPr="00D202B5">
        <w:rPr>
          <w:rFonts w:cs="Times New Roman"/>
          <w:b/>
          <w:sz w:val="20"/>
          <w:szCs w:val="20"/>
        </w:rPr>
        <w:instrText xml:space="preserve"> FILLIN "Enter contract name" </w:instrText>
      </w:r>
      <w:r w:rsidRPr="00D202B5">
        <w:rPr>
          <w:rFonts w:cs="Times New Roman"/>
          <w:b/>
          <w:sz w:val="20"/>
          <w:szCs w:val="20"/>
        </w:rPr>
        <w:fldChar w:fldCharType="end"/>
      </w:r>
    </w:p>
    <w:p w14:paraId="189B2390" w14:textId="5476DF6B"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b/>
          <w:sz w:val="20"/>
          <w:szCs w:val="20"/>
        </w:rPr>
      </w:pPr>
      <w:r w:rsidRPr="00D202B5">
        <w:rPr>
          <w:rFonts w:cs="Times New Roman"/>
          <w:b/>
          <w:sz w:val="20"/>
          <w:szCs w:val="20"/>
        </w:rPr>
        <w:t>DEADLINE TO RESPOND:</w:t>
      </w:r>
      <w:r w:rsidR="00BE2B86">
        <w:rPr>
          <w:rFonts w:cs="Times New Roman"/>
          <w:b/>
          <w:sz w:val="20"/>
          <w:szCs w:val="20"/>
        </w:rPr>
        <w:t xml:space="preserve"> </w:t>
      </w:r>
      <w:r w:rsidR="00CF5DCC">
        <w:rPr>
          <w:rFonts w:cs="Times New Roman"/>
          <w:b/>
          <w:sz w:val="20"/>
          <w:szCs w:val="20"/>
          <w:highlight w:val="lightGray"/>
        </w:rPr>
        <w:t>April 2</w:t>
      </w:r>
      <w:r w:rsidR="00BE2B86" w:rsidRPr="00CC34E6">
        <w:rPr>
          <w:rFonts w:cs="Times New Roman"/>
          <w:b/>
          <w:sz w:val="20"/>
          <w:szCs w:val="20"/>
          <w:highlight w:val="lightGray"/>
        </w:rPr>
        <w:t xml:space="preserve">, 2019 </w:t>
      </w:r>
      <w:r w:rsidRPr="00CC34E6">
        <w:rPr>
          <w:rFonts w:cs="Times New Roman"/>
          <w:b/>
          <w:sz w:val="20"/>
          <w:szCs w:val="20"/>
          <w:highlight w:val="lightGray"/>
        </w:rPr>
        <w:t xml:space="preserve">at </w:t>
      </w:r>
      <w:r w:rsidR="00A75B83" w:rsidRPr="00BE2B86">
        <w:rPr>
          <w:rFonts w:cs="Times New Roman"/>
          <w:b/>
          <w:sz w:val="20"/>
          <w:szCs w:val="20"/>
          <w:highlight w:val="lightGray"/>
        </w:rPr>
        <w:t>4</w:t>
      </w:r>
      <w:r w:rsidRPr="00BE2B86">
        <w:rPr>
          <w:rFonts w:cs="Times New Roman"/>
          <w:b/>
          <w:sz w:val="20"/>
          <w:szCs w:val="20"/>
          <w:highlight w:val="lightGray"/>
        </w:rPr>
        <w:t>:00</w:t>
      </w:r>
      <w:r w:rsidRPr="00CC34E6">
        <w:rPr>
          <w:rFonts w:cs="Times New Roman"/>
          <w:b/>
          <w:sz w:val="20"/>
          <w:szCs w:val="20"/>
          <w:highlight w:val="lightGray"/>
        </w:rPr>
        <w:t xml:space="preserve"> PM (local time)</w:t>
      </w:r>
    </w:p>
    <w:p w14:paraId="12B0095B" w14:textId="77777777" w:rsidR="002F5648" w:rsidRPr="00D202B5" w:rsidRDefault="002F5648" w:rsidP="00A75B83">
      <w:r w:rsidRPr="00D202B5">
        <w:rPr>
          <w:highlight w:val="lightGray"/>
        </w:rPr>
        <w:fldChar w:fldCharType="begin"/>
      </w:r>
      <w:r w:rsidRPr="00D202B5">
        <w:rPr>
          <w:highlight w:val="lightGray"/>
        </w:rPr>
        <w:instrText xml:space="preserve"> FILLIN "Enter bid opening date" </w:instrText>
      </w:r>
      <w:r w:rsidRPr="00D202B5">
        <w:rPr>
          <w:highlight w:val="lightGray"/>
        </w:rPr>
        <w:fldChar w:fldCharType="end"/>
      </w:r>
    </w:p>
    <w:p w14:paraId="0663AAD3" w14:textId="77777777" w:rsidR="002F5648" w:rsidRPr="00A75B83" w:rsidRDefault="002F5648" w:rsidP="00A75B83">
      <w:pPr>
        <w:jc w:val="center"/>
        <w:rPr>
          <w:b/>
          <w:snapToGrid w:val="0"/>
          <w:sz w:val="20"/>
        </w:rPr>
      </w:pPr>
      <w:r w:rsidRPr="00A75B83">
        <w:rPr>
          <w:b/>
          <w:snapToGrid w:val="0"/>
          <w:sz w:val="20"/>
        </w:rPr>
        <w:t>NON-COLLUSION STATEMENT</w:t>
      </w:r>
    </w:p>
    <w:p w14:paraId="389D0E0F" w14:textId="7CB6F860" w:rsidR="002F5648" w:rsidRPr="00D202B5" w:rsidRDefault="002F5648" w:rsidP="002F5648">
      <w:pPr>
        <w:overflowPunct w:val="0"/>
        <w:autoSpaceDE w:val="0"/>
        <w:autoSpaceDN w:val="0"/>
        <w:adjustRightInd w:val="0"/>
        <w:spacing w:line="220" w:lineRule="exact"/>
        <w:jc w:val="both"/>
        <w:textAlignment w:val="baseline"/>
        <w:rPr>
          <w:sz w:val="16"/>
          <w:szCs w:val="20"/>
        </w:rPr>
      </w:pPr>
      <w:proofErr w:type="gramStart"/>
      <w:r w:rsidRPr="00D202B5">
        <w:rPr>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D202B5">
        <w:rPr>
          <w:b/>
          <w:sz w:val="16"/>
          <w:szCs w:val="20"/>
        </w:rPr>
        <w:t>, and further certifies that it is not a sub-contractor to another Vendor who also submitted a proposal as a primary Vendor in response to this solicitation</w:t>
      </w:r>
      <w:r w:rsidRPr="00D202B5">
        <w:rPr>
          <w:sz w:val="16"/>
          <w:szCs w:val="20"/>
        </w:rPr>
        <w:t xml:space="preserve"> submitted this date to the State of Delaware, </w:t>
      </w:r>
      <w:r w:rsidR="00364837">
        <w:rPr>
          <w:sz w:val="16"/>
          <w:szCs w:val="20"/>
        </w:rPr>
        <w:t>Office of the State Treasurer</w:t>
      </w:r>
      <w:r w:rsidRPr="00D202B5">
        <w:rPr>
          <w:sz w:val="16"/>
          <w:szCs w:val="20"/>
        </w:rPr>
        <w:t>.</w:t>
      </w:r>
      <w:proofErr w:type="gramEnd"/>
    </w:p>
    <w:p w14:paraId="7C313222"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ind w:right="1080"/>
        <w:jc w:val="both"/>
        <w:textAlignment w:val="baseline"/>
        <w:rPr>
          <w:rFonts w:cs="Times New Roman"/>
          <w:sz w:val="16"/>
          <w:szCs w:val="20"/>
        </w:rPr>
      </w:pPr>
    </w:p>
    <w:p w14:paraId="065D36A5"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jc w:val="both"/>
        <w:textAlignment w:val="baseline"/>
        <w:rPr>
          <w:rFonts w:cs="Times New Roman"/>
          <w:sz w:val="16"/>
          <w:szCs w:val="20"/>
        </w:rPr>
      </w:pPr>
      <w:r w:rsidRPr="00D202B5">
        <w:rPr>
          <w:rFonts w:cs="Times New Roman"/>
          <w:sz w:val="16"/>
          <w:szCs w:val="20"/>
        </w:rPr>
        <w:t xml:space="preserve">It </w:t>
      </w:r>
      <w:proofErr w:type="gramStart"/>
      <w:r w:rsidRPr="00D202B5">
        <w:rPr>
          <w:rFonts w:cs="Times New Roman"/>
          <w:sz w:val="16"/>
          <w:szCs w:val="20"/>
        </w:rPr>
        <w:t>is agreed</w:t>
      </w:r>
      <w:proofErr w:type="gramEnd"/>
      <w:r w:rsidRPr="00D202B5">
        <w:rPr>
          <w:rFonts w:cs="Times New Roman"/>
          <w:sz w:val="16"/>
          <w:szCs w:val="20"/>
        </w:rPr>
        <w:t xml:space="preserve"> by the undersigned Vendor that the signed delivery of this bid represents, subject to any express exceptions set forth at </w:t>
      </w:r>
      <w:r w:rsidRPr="00364837">
        <w:rPr>
          <w:rFonts w:cs="Times New Roman"/>
          <w:sz w:val="16"/>
          <w:szCs w:val="20"/>
        </w:rPr>
        <w:t xml:space="preserve">Attachment </w:t>
      </w:r>
      <w:r w:rsidR="00DD6998" w:rsidRPr="00364837">
        <w:rPr>
          <w:rFonts w:cs="Times New Roman"/>
          <w:sz w:val="16"/>
          <w:szCs w:val="20"/>
        </w:rPr>
        <w:t>7</w:t>
      </w:r>
      <w:r w:rsidRPr="00364837">
        <w:rPr>
          <w:rFonts w:cs="Times New Roman"/>
          <w:sz w:val="16"/>
          <w:szCs w:val="20"/>
        </w:rPr>
        <w:t>,</w:t>
      </w:r>
      <w:r w:rsidRPr="00D202B5">
        <w:rPr>
          <w:rFonts w:cs="Times New Roman"/>
          <w:sz w:val="16"/>
          <w:szCs w:val="20"/>
        </w:rPr>
        <w:t xml:space="preserve"> the Vendor’s acceptance of the terms and conditions of this solicitation including all specifications and special provisions.</w:t>
      </w:r>
    </w:p>
    <w:p w14:paraId="410607D2"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ind w:right="1080"/>
        <w:textAlignment w:val="baseline"/>
        <w:rPr>
          <w:rFonts w:cs="Times New Roman"/>
          <w:sz w:val="16"/>
          <w:szCs w:val="20"/>
        </w:rPr>
      </w:pP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2F5648" w:rsidRPr="00D202B5" w14:paraId="231902F6" w14:textId="77777777" w:rsidTr="00841921">
        <w:tc>
          <w:tcPr>
            <w:tcW w:w="288" w:type="dxa"/>
          </w:tcPr>
          <w:p w14:paraId="1F66DFC1"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u w:val="single"/>
              </w:rPr>
            </w:pPr>
          </w:p>
        </w:tc>
        <w:tc>
          <w:tcPr>
            <w:tcW w:w="1350" w:type="dxa"/>
          </w:tcPr>
          <w:p w14:paraId="48A2A822"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rPr>
            </w:pPr>
            <w:r w:rsidRPr="00D202B5">
              <w:rPr>
                <w:rFonts w:cs="Times New Roman"/>
                <w:sz w:val="16"/>
                <w:szCs w:val="16"/>
              </w:rPr>
              <w:t>Corporation</w:t>
            </w:r>
          </w:p>
        </w:tc>
      </w:tr>
      <w:tr w:rsidR="002F5648" w:rsidRPr="00D202B5" w14:paraId="0D640E49" w14:textId="77777777" w:rsidTr="00841921">
        <w:tc>
          <w:tcPr>
            <w:tcW w:w="288" w:type="dxa"/>
          </w:tcPr>
          <w:p w14:paraId="11934C58"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u w:val="single"/>
              </w:rPr>
            </w:pPr>
          </w:p>
        </w:tc>
        <w:tc>
          <w:tcPr>
            <w:tcW w:w="1350" w:type="dxa"/>
          </w:tcPr>
          <w:p w14:paraId="5AE48F8E"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rPr>
            </w:pPr>
            <w:r w:rsidRPr="00D202B5">
              <w:rPr>
                <w:rFonts w:cs="Times New Roman"/>
                <w:sz w:val="16"/>
                <w:szCs w:val="16"/>
              </w:rPr>
              <w:t>Partnership</w:t>
            </w:r>
          </w:p>
        </w:tc>
      </w:tr>
      <w:tr w:rsidR="002F5648" w:rsidRPr="00D202B5" w14:paraId="2C7C191B" w14:textId="77777777" w:rsidTr="00841921">
        <w:tc>
          <w:tcPr>
            <w:tcW w:w="288" w:type="dxa"/>
          </w:tcPr>
          <w:p w14:paraId="5284B5E0"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u w:val="single"/>
              </w:rPr>
            </w:pPr>
          </w:p>
        </w:tc>
        <w:tc>
          <w:tcPr>
            <w:tcW w:w="1350" w:type="dxa"/>
          </w:tcPr>
          <w:p w14:paraId="4842246C"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rPr>
            </w:pPr>
            <w:r w:rsidRPr="00D202B5">
              <w:rPr>
                <w:rFonts w:cs="Times New Roman"/>
                <w:sz w:val="16"/>
                <w:szCs w:val="16"/>
              </w:rPr>
              <w:t>Individual</w:t>
            </w:r>
          </w:p>
        </w:tc>
      </w:tr>
    </w:tbl>
    <w:p w14:paraId="2FDBDA6E" w14:textId="64E5389F"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sz w:val="16"/>
          <w:szCs w:val="16"/>
        </w:rPr>
      </w:pPr>
      <w:r w:rsidRPr="00D202B5">
        <w:rPr>
          <w:rFonts w:cs="Times New Roman"/>
          <w:b/>
          <w:sz w:val="16"/>
          <w:szCs w:val="20"/>
        </w:rPr>
        <w:t>NOTE:</w:t>
      </w:r>
      <w:r w:rsidRPr="00D202B5">
        <w:rPr>
          <w:rFonts w:cs="Times New Roman"/>
          <w:sz w:val="16"/>
          <w:szCs w:val="20"/>
        </w:rPr>
        <w:t xml:space="preserve">  Signature of the authorized representative </w:t>
      </w:r>
      <w:r w:rsidRPr="00D202B5">
        <w:rPr>
          <w:rFonts w:cs="Times New Roman"/>
          <w:b/>
          <w:sz w:val="16"/>
          <w:szCs w:val="20"/>
        </w:rPr>
        <w:t>MUST</w:t>
      </w:r>
      <w:r w:rsidRPr="00D202B5">
        <w:rPr>
          <w:rFonts w:cs="Times New Roman"/>
          <w:sz w:val="16"/>
          <w:szCs w:val="20"/>
        </w:rPr>
        <w:t xml:space="preserve"> be of an individual who legally may enter his/her organization into a formal contract with the State of Delaware</w:t>
      </w:r>
      <w:r w:rsidRPr="00D202B5">
        <w:rPr>
          <w:sz w:val="16"/>
          <w:szCs w:val="16"/>
        </w:rPr>
        <w:t xml:space="preserve">, </w:t>
      </w:r>
      <w:r w:rsidR="00364837">
        <w:rPr>
          <w:sz w:val="16"/>
          <w:szCs w:val="16"/>
        </w:rPr>
        <w:t>Office of the State Treasurer</w:t>
      </w:r>
      <w:r w:rsidRPr="00D202B5">
        <w:rPr>
          <w:sz w:val="16"/>
          <w:szCs w:val="16"/>
        </w:rPr>
        <w:t>.</w:t>
      </w:r>
    </w:p>
    <w:p w14:paraId="20577B97"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20"/>
        </w:rPr>
      </w:pPr>
    </w:p>
    <w:p w14:paraId="572D0A39" w14:textId="77777777" w:rsidR="002F5648" w:rsidRPr="00DD6998" w:rsidRDefault="002F5648" w:rsidP="00AD6D52">
      <w:pPr>
        <w:tabs>
          <w:tab w:val="left" w:pos="-720"/>
          <w:tab w:val="left" w:pos="10800"/>
          <w:tab w:val="left" w:pos="11520"/>
        </w:tabs>
        <w:suppressAutoHyphens/>
        <w:overflowPunct w:val="0"/>
        <w:autoSpaceDE w:val="0"/>
        <w:autoSpaceDN w:val="0"/>
        <w:adjustRightInd w:val="0"/>
        <w:spacing w:after="160" w:line="220" w:lineRule="exact"/>
        <w:textAlignment w:val="baseline"/>
        <w:rPr>
          <w:rFonts w:cs="Times New Roman"/>
          <w:sz w:val="14"/>
          <w:szCs w:val="14"/>
          <w:u w:val="single"/>
        </w:rPr>
      </w:pPr>
      <w:r w:rsidRPr="00DD6998">
        <w:rPr>
          <w:rFonts w:cs="Times New Roman"/>
          <w:sz w:val="14"/>
          <w:szCs w:val="14"/>
        </w:rPr>
        <w:t>COMPANY NAME ______________________________________________________________   (Check one)</w:t>
      </w:r>
    </w:p>
    <w:p w14:paraId="75EE19A6" w14:textId="77777777" w:rsidR="00AD6D52" w:rsidRDefault="002F5648" w:rsidP="00AD6D52">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sidRPr="00DD6998">
        <w:rPr>
          <w:rFonts w:cs="Times New Roman"/>
          <w:sz w:val="14"/>
          <w:szCs w:val="14"/>
        </w:rPr>
        <w:t>NAME OF AUTHORIZED REPRESENTATIVE</w:t>
      </w:r>
      <w:r w:rsidR="00AD6D52">
        <w:rPr>
          <w:rFonts w:cs="Times New Roman"/>
          <w:sz w:val="14"/>
          <w:szCs w:val="14"/>
        </w:rPr>
        <w:tab/>
      </w:r>
    </w:p>
    <w:p w14:paraId="4A5AF98E" w14:textId="77777777" w:rsidR="00AD6D52" w:rsidRDefault="00AD6D52" w:rsidP="00AD6D52">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SIGNATURE</w:t>
      </w:r>
      <w:r>
        <w:rPr>
          <w:rFonts w:cs="Times New Roman"/>
          <w:sz w:val="14"/>
          <w:szCs w:val="14"/>
        </w:rPr>
        <w:tab/>
        <w:t>TITLE</w:t>
      </w:r>
      <w:r>
        <w:rPr>
          <w:rFonts w:cs="Times New Roman"/>
          <w:sz w:val="14"/>
          <w:szCs w:val="14"/>
        </w:rPr>
        <w:tab/>
      </w:r>
    </w:p>
    <w:p w14:paraId="1F2486FE" w14:textId="77777777" w:rsidR="00AD6D52" w:rsidRDefault="00AD6D52" w:rsidP="00AD6D52">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COMPANY ADDRESS</w:t>
      </w:r>
      <w:r>
        <w:rPr>
          <w:rFonts w:cs="Times New Roman"/>
          <w:sz w:val="14"/>
          <w:szCs w:val="14"/>
        </w:rPr>
        <w:tab/>
      </w:r>
    </w:p>
    <w:p w14:paraId="575B7FE9" w14:textId="77777777" w:rsidR="00AD6D52" w:rsidRDefault="00AD6D52" w:rsidP="00AD6D52">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PHONE NUMBER</w:t>
      </w:r>
      <w:r>
        <w:rPr>
          <w:rFonts w:cs="Times New Roman"/>
          <w:sz w:val="14"/>
          <w:szCs w:val="14"/>
        </w:rPr>
        <w:tab/>
        <w:t>FAX NUMBER</w:t>
      </w:r>
      <w:r>
        <w:rPr>
          <w:rFonts w:cs="Times New Roman"/>
          <w:sz w:val="14"/>
          <w:szCs w:val="14"/>
        </w:rPr>
        <w:tab/>
      </w:r>
    </w:p>
    <w:p w14:paraId="6C46EBFA" w14:textId="77777777" w:rsidR="00AD6D52" w:rsidRDefault="00AD6D52" w:rsidP="00AD6D52">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EMAIL ADDRESS</w:t>
      </w:r>
      <w:r>
        <w:rPr>
          <w:rFonts w:cs="Times New Roman"/>
          <w:sz w:val="14"/>
          <w:szCs w:val="14"/>
        </w:rPr>
        <w:tab/>
      </w:r>
    </w:p>
    <w:p w14:paraId="77D7C9F5" w14:textId="77777777" w:rsidR="00AD6D52" w:rsidRDefault="00AD6D52" w:rsidP="00AD6D52">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FEDERAL E.I. NUMBER</w:t>
      </w:r>
      <w:r>
        <w:rPr>
          <w:rFonts w:cs="Times New Roman"/>
          <w:sz w:val="14"/>
          <w:szCs w:val="14"/>
        </w:rPr>
        <w:tab/>
        <w:t>STATE OF DELAWARE LICENSE NUMBER</w:t>
      </w:r>
      <w:r>
        <w:rPr>
          <w:rFonts w:cs="Times New Roman"/>
          <w:sz w:val="14"/>
          <w:szCs w:val="14"/>
        </w:rPr>
        <w:tab/>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5745"/>
        <w:gridCol w:w="1537"/>
      </w:tblGrid>
      <w:tr w:rsidR="002F5648" w:rsidRPr="00DD6998" w14:paraId="4C64987E" w14:textId="77777777" w:rsidTr="00AD6D52">
        <w:trPr>
          <w:trHeight w:val="142"/>
        </w:trPr>
        <w:tc>
          <w:tcPr>
            <w:tcW w:w="2059" w:type="dxa"/>
            <w:vMerge w:val="restart"/>
          </w:tcPr>
          <w:p w14:paraId="2C6BAAD3" w14:textId="77777777" w:rsidR="00AD6D52" w:rsidRDefault="00AD6D52" w:rsidP="00AD6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p>
          <w:p w14:paraId="39852D01" w14:textId="77777777" w:rsidR="002F5648" w:rsidRPr="00DD6998" w:rsidRDefault="002F5648" w:rsidP="00AD6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pacing w:val="-3"/>
                <w:sz w:val="14"/>
                <w:szCs w:val="14"/>
              </w:rPr>
            </w:pPr>
            <w:r w:rsidRPr="00DD6998">
              <w:rPr>
                <w:sz w:val="14"/>
                <w:szCs w:val="14"/>
              </w:rPr>
              <w:t>COMPANY CLASSIFICATIONS:</w:t>
            </w:r>
          </w:p>
          <w:p w14:paraId="451C5CB9" w14:textId="77777777" w:rsidR="002F5648" w:rsidRPr="00DD6998" w:rsidRDefault="002F5648" w:rsidP="00841921">
            <w:pPr>
              <w:tabs>
                <w:tab w:val="left" w:pos="-720"/>
              </w:tabs>
              <w:suppressAutoHyphens/>
              <w:spacing w:line="220" w:lineRule="exact"/>
              <w:jc w:val="center"/>
              <w:rPr>
                <w:spacing w:val="-3"/>
                <w:sz w:val="14"/>
                <w:szCs w:val="14"/>
              </w:rPr>
            </w:pPr>
          </w:p>
          <w:p w14:paraId="6C1E0B7B" w14:textId="77777777" w:rsidR="002F5648" w:rsidRPr="00DD6998" w:rsidRDefault="002F5648" w:rsidP="00DD6998">
            <w:pPr>
              <w:tabs>
                <w:tab w:val="left" w:pos="-720"/>
              </w:tabs>
              <w:suppressAutoHyphens/>
              <w:spacing w:line="220" w:lineRule="exact"/>
              <w:jc w:val="center"/>
              <w:rPr>
                <w:sz w:val="14"/>
                <w:szCs w:val="14"/>
              </w:rPr>
            </w:pPr>
            <w:r w:rsidRPr="00DD6998">
              <w:rPr>
                <w:spacing w:val="-3"/>
                <w:sz w:val="14"/>
                <w:szCs w:val="14"/>
              </w:rPr>
              <w:t>CERT. NO.: ______________</w:t>
            </w:r>
          </w:p>
        </w:tc>
        <w:tc>
          <w:tcPr>
            <w:tcW w:w="5745" w:type="dxa"/>
          </w:tcPr>
          <w:p w14:paraId="57AB6B90"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Certification type(s)</w:t>
            </w:r>
          </w:p>
        </w:tc>
        <w:tc>
          <w:tcPr>
            <w:tcW w:w="1537" w:type="dxa"/>
          </w:tcPr>
          <w:p w14:paraId="664A5325"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Circle all that apply</w:t>
            </w:r>
          </w:p>
        </w:tc>
      </w:tr>
      <w:tr w:rsidR="002F5648" w:rsidRPr="00DD6998" w14:paraId="1844EEA1" w14:textId="77777777" w:rsidTr="00AD6D52">
        <w:trPr>
          <w:trHeight w:val="150"/>
        </w:trPr>
        <w:tc>
          <w:tcPr>
            <w:tcW w:w="2059" w:type="dxa"/>
            <w:vMerge/>
          </w:tcPr>
          <w:p w14:paraId="4A3B02BF"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54E54595"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Minority Business Enterprise (MBE)</w:t>
            </w:r>
          </w:p>
        </w:tc>
        <w:tc>
          <w:tcPr>
            <w:tcW w:w="1537" w:type="dxa"/>
          </w:tcPr>
          <w:p w14:paraId="7AAB4A0E"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566AAF3B" w14:textId="77777777" w:rsidTr="00AD6D52">
        <w:trPr>
          <w:trHeight w:val="157"/>
        </w:trPr>
        <w:tc>
          <w:tcPr>
            <w:tcW w:w="2059" w:type="dxa"/>
            <w:vMerge/>
          </w:tcPr>
          <w:p w14:paraId="27834D90"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73435431"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Woman Business Enterprise (WBE)</w:t>
            </w:r>
          </w:p>
        </w:tc>
        <w:tc>
          <w:tcPr>
            <w:tcW w:w="1537" w:type="dxa"/>
          </w:tcPr>
          <w:p w14:paraId="7901D58E"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42E60B8C" w14:textId="77777777" w:rsidTr="00AD6D52">
        <w:trPr>
          <w:trHeight w:val="150"/>
        </w:trPr>
        <w:tc>
          <w:tcPr>
            <w:tcW w:w="2059" w:type="dxa"/>
            <w:vMerge/>
          </w:tcPr>
          <w:p w14:paraId="55D15402"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5A90A7F1"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Disadvantaged Business Enterprise (DBE)</w:t>
            </w:r>
          </w:p>
        </w:tc>
        <w:tc>
          <w:tcPr>
            <w:tcW w:w="1537" w:type="dxa"/>
          </w:tcPr>
          <w:p w14:paraId="7A87B2DF"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6AA0DB67" w14:textId="77777777" w:rsidTr="00AD6D52">
        <w:trPr>
          <w:trHeight w:val="150"/>
        </w:trPr>
        <w:tc>
          <w:tcPr>
            <w:tcW w:w="2059" w:type="dxa"/>
            <w:vMerge/>
          </w:tcPr>
          <w:p w14:paraId="0E55E17D"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0FB833E8"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Veteran Owned Business Enterprise (VOBE)</w:t>
            </w:r>
          </w:p>
        </w:tc>
        <w:tc>
          <w:tcPr>
            <w:tcW w:w="1537" w:type="dxa"/>
          </w:tcPr>
          <w:p w14:paraId="28AC074D"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7B1311F0" w14:textId="77777777" w:rsidTr="00AD6D52">
        <w:trPr>
          <w:trHeight w:val="144"/>
        </w:trPr>
        <w:tc>
          <w:tcPr>
            <w:tcW w:w="2059" w:type="dxa"/>
            <w:vMerge/>
          </w:tcPr>
          <w:p w14:paraId="380DF4BB"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0A727C82" w14:textId="77777777" w:rsidR="002F5648" w:rsidRPr="00DD6998" w:rsidRDefault="002F5648" w:rsidP="00AD6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Service Disabled Veteran Owned Business Enterprise (SDVOBE)</w:t>
            </w:r>
          </w:p>
        </w:tc>
        <w:tc>
          <w:tcPr>
            <w:tcW w:w="1537" w:type="dxa"/>
          </w:tcPr>
          <w:p w14:paraId="651F4125" w14:textId="77777777" w:rsidR="002F5648" w:rsidRPr="00DD6998" w:rsidRDefault="002F5648" w:rsidP="00DD69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Yes</w:t>
            </w:r>
            <w:r w:rsidRPr="00DD6998">
              <w:rPr>
                <w:sz w:val="14"/>
                <w:szCs w:val="14"/>
              </w:rPr>
              <w:tab/>
              <w:t>No</w:t>
            </w:r>
          </w:p>
        </w:tc>
      </w:tr>
    </w:tbl>
    <w:p w14:paraId="25A41ACD" w14:textId="77777777" w:rsidR="00A75B83" w:rsidRPr="00DD6998" w:rsidRDefault="00A75B83" w:rsidP="002F5648">
      <w:pPr>
        <w:jc w:val="center"/>
        <w:rPr>
          <w:sz w:val="14"/>
          <w:szCs w:val="14"/>
        </w:rPr>
      </w:pPr>
    </w:p>
    <w:p w14:paraId="23A4F2A1" w14:textId="77777777" w:rsidR="002F5648" w:rsidRPr="00DD6998" w:rsidRDefault="002F5648" w:rsidP="002F5648">
      <w:pPr>
        <w:jc w:val="center"/>
        <w:rPr>
          <w:sz w:val="14"/>
          <w:szCs w:val="14"/>
        </w:rPr>
      </w:pPr>
      <w:r w:rsidRPr="00DD6998">
        <w:rPr>
          <w:sz w:val="14"/>
          <w:szCs w:val="14"/>
        </w:rPr>
        <w:t>[The above table is for informational and statistical use only.]</w:t>
      </w:r>
    </w:p>
    <w:p w14:paraId="09FCE142" w14:textId="77777777" w:rsidR="001701AB" w:rsidRDefault="001701AB" w:rsidP="001701AB">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PURCHASE ORDERS SHOULD BE SENT TO</w:t>
      </w:r>
      <w:proofErr w:type="gramStart"/>
      <w:r w:rsidR="002040C5">
        <w:rPr>
          <w:rFonts w:cs="Times New Roman"/>
          <w:sz w:val="14"/>
          <w:szCs w:val="14"/>
        </w:rPr>
        <w:t>:</w:t>
      </w:r>
      <w:proofErr w:type="gramEnd"/>
      <w:r>
        <w:rPr>
          <w:rFonts w:cs="Times New Roman"/>
          <w:sz w:val="14"/>
          <w:szCs w:val="14"/>
        </w:rPr>
        <w:br/>
        <w:t>COMPANY NAME:</w:t>
      </w:r>
      <w:r>
        <w:rPr>
          <w:rFonts w:cs="Times New Roman"/>
          <w:sz w:val="14"/>
          <w:szCs w:val="14"/>
        </w:rPr>
        <w:tab/>
      </w:r>
    </w:p>
    <w:p w14:paraId="455A617D" w14:textId="77777777" w:rsidR="001701AB" w:rsidRDefault="001701AB" w:rsidP="001701AB">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ADDRESS</w:t>
      </w:r>
      <w:r>
        <w:rPr>
          <w:rFonts w:cs="Times New Roman"/>
          <w:sz w:val="14"/>
          <w:szCs w:val="14"/>
        </w:rPr>
        <w:tab/>
        <w:t>CONTACT</w:t>
      </w:r>
      <w:r>
        <w:rPr>
          <w:rFonts w:cs="Times New Roman"/>
          <w:sz w:val="14"/>
          <w:szCs w:val="14"/>
        </w:rPr>
        <w:tab/>
      </w:r>
    </w:p>
    <w:p w14:paraId="375AE150" w14:textId="77777777" w:rsidR="001701AB" w:rsidRDefault="001701AB" w:rsidP="001701AB">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PHONE NUMBER</w:t>
      </w:r>
      <w:r>
        <w:rPr>
          <w:rFonts w:cs="Times New Roman"/>
          <w:sz w:val="14"/>
          <w:szCs w:val="14"/>
        </w:rPr>
        <w:tab/>
        <w:t>FAX NUMBER</w:t>
      </w:r>
      <w:r>
        <w:rPr>
          <w:rFonts w:cs="Times New Roman"/>
          <w:sz w:val="14"/>
          <w:szCs w:val="14"/>
        </w:rPr>
        <w:tab/>
      </w:r>
    </w:p>
    <w:p w14:paraId="348278EE" w14:textId="77777777" w:rsidR="001701AB" w:rsidRDefault="001701AB" w:rsidP="001701AB">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EMAIL ADDRESS</w:t>
      </w:r>
      <w:r>
        <w:rPr>
          <w:rFonts w:cs="Times New Roman"/>
          <w:sz w:val="14"/>
          <w:szCs w:val="14"/>
        </w:rPr>
        <w:tab/>
      </w:r>
    </w:p>
    <w:p w14:paraId="0C660527" w14:textId="77777777" w:rsidR="002040C5" w:rsidRPr="002040C5" w:rsidRDefault="002040C5" w:rsidP="001701AB">
      <w:pPr>
        <w:tabs>
          <w:tab w:val="right" w:leader="underscore" w:pos="9360"/>
        </w:tabs>
        <w:suppressAutoHyphens/>
        <w:overflowPunct w:val="0"/>
        <w:autoSpaceDE w:val="0"/>
        <w:autoSpaceDN w:val="0"/>
        <w:adjustRightInd w:val="0"/>
        <w:spacing w:after="160" w:line="220" w:lineRule="exact"/>
        <w:textAlignment w:val="baseline"/>
        <w:rPr>
          <w:rFonts w:cs="Times New Roman"/>
          <w:sz w:val="16"/>
          <w:szCs w:val="16"/>
        </w:rPr>
      </w:pPr>
      <w:r w:rsidRPr="002040C5">
        <w:rPr>
          <w:rFonts w:cs="Times New Roman"/>
          <w:b/>
          <w:sz w:val="16"/>
          <w:szCs w:val="16"/>
        </w:rPr>
        <w:t>AFFIRMATION</w:t>
      </w:r>
      <w:r w:rsidRPr="002040C5">
        <w:rPr>
          <w:rFonts w:cs="Times New Roman"/>
          <w:sz w:val="16"/>
          <w:szCs w:val="16"/>
        </w:rPr>
        <w:t>: Within the past five years, has your firm, any affiliate, any predecessor company or entity, owner, Director, officer, partner or proprietor been the subject of a Federal, State, Local government suspension or debarment?</w:t>
      </w:r>
    </w:p>
    <w:p w14:paraId="40E04F9B" w14:textId="77777777" w:rsidR="002040C5" w:rsidRPr="002040C5" w:rsidRDefault="002040C5" w:rsidP="002040C5">
      <w:pPr>
        <w:tabs>
          <w:tab w:val="left" w:leader="underscore" w:pos="720"/>
          <w:tab w:val="left" w:leader="underscore" w:pos="1440"/>
          <w:tab w:val="right" w:leader="underscore" w:pos="9360"/>
        </w:tabs>
        <w:suppressAutoHyphens/>
        <w:overflowPunct w:val="0"/>
        <w:autoSpaceDE w:val="0"/>
        <w:autoSpaceDN w:val="0"/>
        <w:adjustRightInd w:val="0"/>
        <w:spacing w:after="160" w:line="220" w:lineRule="exact"/>
        <w:textAlignment w:val="baseline"/>
        <w:rPr>
          <w:rFonts w:cs="Times New Roman"/>
          <w:sz w:val="16"/>
          <w:szCs w:val="16"/>
        </w:rPr>
      </w:pPr>
      <w:r w:rsidRPr="002040C5">
        <w:rPr>
          <w:rFonts w:cs="Times New Roman"/>
          <w:sz w:val="16"/>
          <w:szCs w:val="16"/>
        </w:rPr>
        <w:t>YES</w:t>
      </w:r>
      <w:r w:rsidRPr="002040C5">
        <w:rPr>
          <w:rFonts w:cs="Times New Roman"/>
          <w:sz w:val="16"/>
          <w:szCs w:val="16"/>
        </w:rPr>
        <w:tab/>
        <w:t xml:space="preserve">NO </w:t>
      </w:r>
      <w:r w:rsidRPr="002040C5">
        <w:rPr>
          <w:rFonts w:cs="Times New Roman"/>
          <w:sz w:val="16"/>
          <w:szCs w:val="16"/>
        </w:rPr>
        <w:tab/>
        <w:t>IF YES, PLEASE EXPLAIN</w:t>
      </w:r>
      <w:r w:rsidRPr="002040C5">
        <w:rPr>
          <w:rFonts w:cs="Times New Roman"/>
          <w:sz w:val="16"/>
          <w:szCs w:val="16"/>
        </w:rPr>
        <w:tab/>
      </w:r>
    </w:p>
    <w:p w14:paraId="785ACE1D" w14:textId="77777777" w:rsidR="002040C5" w:rsidRPr="002040C5" w:rsidRDefault="002040C5" w:rsidP="002040C5">
      <w:pPr>
        <w:tabs>
          <w:tab w:val="right" w:leader="underscore" w:pos="9360"/>
        </w:tabs>
        <w:suppressAutoHyphens/>
        <w:overflowPunct w:val="0"/>
        <w:autoSpaceDE w:val="0"/>
        <w:autoSpaceDN w:val="0"/>
        <w:adjustRightInd w:val="0"/>
        <w:spacing w:after="160" w:line="220" w:lineRule="exact"/>
        <w:textAlignment w:val="baseline"/>
        <w:rPr>
          <w:rFonts w:cs="Times New Roman"/>
          <w:sz w:val="16"/>
          <w:szCs w:val="16"/>
        </w:rPr>
      </w:pPr>
      <w:r w:rsidRPr="002040C5">
        <w:rPr>
          <w:rFonts w:cs="Times New Roman"/>
          <w:sz w:val="16"/>
          <w:szCs w:val="16"/>
        </w:rPr>
        <w:tab/>
      </w:r>
    </w:p>
    <w:p w14:paraId="4EA22273" w14:textId="77777777" w:rsidR="002040C5" w:rsidRPr="002040C5" w:rsidRDefault="002040C5" w:rsidP="002040C5">
      <w:pPr>
        <w:tabs>
          <w:tab w:val="right" w:leader="underscore" w:pos="9360"/>
        </w:tabs>
        <w:suppressAutoHyphens/>
        <w:overflowPunct w:val="0"/>
        <w:autoSpaceDE w:val="0"/>
        <w:autoSpaceDN w:val="0"/>
        <w:adjustRightInd w:val="0"/>
        <w:spacing w:after="160" w:line="220" w:lineRule="exact"/>
        <w:textAlignment w:val="baseline"/>
        <w:rPr>
          <w:rFonts w:cs="Times New Roman"/>
          <w:b/>
          <w:sz w:val="18"/>
          <w:szCs w:val="18"/>
          <w:u w:val="single"/>
        </w:rPr>
      </w:pPr>
      <w:r w:rsidRPr="002040C5">
        <w:rPr>
          <w:rFonts w:cs="Times New Roman"/>
          <w:b/>
          <w:sz w:val="18"/>
          <w:szCs w:val="18"/>
          <w:u w:val="single"/>
        </w:rPr>
        <w:t>THIS PAGE SHALL BE SIGNED, NOTARIZED AND RETURNED FOR YOUR BID TO BE CONSIDERED</w:t>
      </w:r>
    </w:p>
    <w:p w14:paraId="3D106F9E" w14:textId="77777777" w:rsidR="002040C5" w:rsidRPr="002040C5" w:rsidRDefault="002040C5" w:rsidP="002040C5">
      <w:pPr>
        <w:tabs>
          <w:tab w:val="right" w:leader="underscore" w:pos="9360"/>
        </w:tabs>
        <w:suppressAutoHyphens/>
        <w:overflowPunct w:val="0"/>
        <w:autoSpaceDE w:val="0"/>
        <w:autoSpaceDN w:val="0"/>
        <w:adjustRightInd w:val="0"/>
        <w:spacing w:after="160" w:line="220" w:lineRule="exact"/>
        <w:textAlignment w:val="baseline"/>
        <w:rPr>
          <w:rFonts w:cs="Times New Roman"/>
          <w:sz w:val="18"/>
          <w:szCs w:val="18"/>
        </w:rPr>
      </w:pPr>
      <w:r w:rsidRPr="002040C5">
        <w:rPr>
          <w:rFonts w:cs="Times New Roman"/>
          <w:sz w:val="18"/>
          <w:szCs w:val="18"/>
        </w:rPr>
        <w:t>SWORN TO AND SUBSCRIBED BEFORE ME this ______</w:t>
      </w:r>
      <w:r>
        <w:rPr>
          <w:rFonts w:cs="Times New Roman"/>
          <w:sz w:val="18"/>
          <w:szCs w:val="18"/>
        </w:rPr>
        <w:t>__</w:t>
      </w:r>
      <w:r w:rsidRPr="002040C5">
        <w:rPr>
          <w:rFonts w:cs="Times New Roman"/>
          <w:sz w:val="18"/>
          <w:szCs w:val="18"/>
        </w:rPr>
        <w:t>__ day of</w:t>
      </w:r>
      <w:r>
        <w:rPr>
          <w:rFonts w:cs="Times New Roman"/>
          <w:sz w:val="18"/>
          <w:szCs w:val="18"/>
        </w:rPr>
        <w:t xml:space="preserve"> ______________________, 20</w:t>
      </w:r>
      <w:r>
        <w:rPr>
          <w:rFonts w:cs="Times New Roman"/>
          <w:sz w:val="18"/>
          <w:szCs w:val="18"/>
        </w:rPr>
        <w:tab/>
      </w:r>
    </w:p>
    <w:p w14:paraId="3A96D212" w14:textId="77777777" w:rsidR="002040C5" w:rsidRPr="002040C5" w:rsidRDefault="002040C5" w:rsidP="002040C5">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8"/>
          <w:szCs w:val="18"/>
        </w:rPr>
      </w:pPr>
      <w:r w:rsidRPr="002040C5">
        <w:rPr>
          <w:rFonts w:cs="Times New Roman"/>
          <w:sz w:val="18"/>
          <w:szCs w:val="18"/>
        </w:rPr>
        <w:t>Notary Public</w:t>
      </w:r>
      <w:r w:rsidRPr="002040C5">
        <w:rPr>
          <w:rFonts w:cs="Times New Roman"/>
          <w:sz w:val="18"/>
          <w:szCs w:val="18"/>
        </w:rPr>
        <w:tab/>
        <w:t>My Commission Expires</w:t>
      </w:r>
      <w:r w:rsidRPr="002040C5">
        <w:rPr>
          <w:rFonts w:cs="Times New Roman"/>
          <w:sz w:val="18"/>
          <w:szCs w:val="18"/>
        </w:rPr>
        <w:tab/>
      </w:r>
    </w:p>
    <w:p w14:paraId="4705D5EE" w14:textId="77777777" w:rsidR="002040C5" w:rsidRPr="002040C5" w:rsidRDefault="002040C5" w:rsidP="002040C5">
      <w:pPr>
        <w:tabs>
          <w:tab w:val="left" w:leader="underscore" w:pos="2880"/>
          <w:tab w:val="left" w:leader="underscore" w:pos="5850"/>
          <w:tab w:val="right" w:leader="underscore" w:pos="9360"/>
        </w:tabs>
        <w:suppressAutoHyphens/>
        <w:overflowPunct w:val="0"/>
        <w:autoSpaceDE w:val="0"/>
        <w:autoSpaceDN w:val="0"/>
        <w:adjustRightInd w:val="0"/>
        <w:spacing w:after="160" w:line="220" w:lineRule="exact"/>
        <w:textAlignment w:val="baseline"/>
        <w:rPr>
          <w:rFonts w:cs="Times New Roman"/>
          <w:sz w:val="18"/>
          <w:szCs w:val="18"/>
        </w:rPr>
      </w:pPr>
      <w:r w:rsidRPr="002040C5">
        <w:rPr>
          <w:rFonts w:cs="Times New Roman"/>
          <w:sz w:val="18"/>
          <w:szCs w:val="18"/>
        </w:rPr>
        <w:t xml:space="preserve">City of </w:t>
      </w:r>
      <w:r w:rsidRPr="002040C5">
        <w:rPr>
          <w:rFonts w:cs="Times New Roman"/>
          <w:sz w:val="18"/>
          <w:szCs w:val="18"/>
        </w:rPr>
        <w:tab/>
        <w:t xml:space="preserve">County of </w:t>
      </w:r>
      <w:r w:rsidRPr="002040C5">
        <w:rPr>
          <w:rFonts w:cs="Times New Roman"/>
          <w:sz w:val="18"/>
          <w:szCs w:val="18"/>
        </w:rPr>
        <w:tab/>
        <w:t xml:space="preserve">State of </w:t>
      </w:r>
      <w:r w:rsidRPr="002040C5">
        <w:rPr>
          <w:rFonts w:cs="Times New Roman"/>
          <w:sz w:val="18"/>
          <w:szCs w:val="18"/>
        </w:rPr>
        <w:tab/>
      </w:r>
    </w:p>
    <w:p w14:paraId="45ECD9B0" w14:textId="77777777" w:rsidR="00886C85" w:rsidRDefault="004B0819" w:rsidP="00886C85">
      <w:pPr>
        <w:pStyle w:val="Heading4"/>
      </w:pPr>
      <w:r w:rsidRPr="002040C5">
        <w:rPr>
          <w:color w:val="000000" w:themeColor="text1"/>
          <w:sz w:val="18"/>
          <w:szCs w:val="18"/>
        </w:rPr>
        <w:br w:type="page"/>
      </w:r>
      <w:r w:rsidR="00886C85">
        <w:t xml:space="preserve">Attachment 8:  </w:t>
      </w:r>
      <w:r w:rsidR="00886C85">
        <w:rPr>
          <w:b w:val="0"/>
        </w:rPr>
        <w:t>Employing Delawareans Report</w:t>
      </w:r>
    </w:p>
    <w:p w14:paraId="2A6800B1" w14:textId="77777777" w:rsidR="004B0819" w:rsidRPr="00F41FBE" w:rsidRDefault="004B0819" w:rsidP="004B0819">
      <w:pPr>
        <w:rPr>
          <w:sz w:val="20"/>
          <w:szCs w:val="20"/>
        </w:rPr>
      </w:pPr>
      <w:r w:rsidRPr="00F41FBE">
        <w:rPr>
          <w:sz w:val="20"/>
          <w:szCs w:val="20"/>
        </w:rPr>
        <w:t xml:space="preserve">CONTRACT NUMBER:  </w:t>
      </w:r>
      <w:r w:rsidR="0034034B" w:rsidRPr="00CC34E6">
        <w:rPr>
          <w:sz w:val="20"/>
          <w:szCs w:val="20"/>
        </w:rPr>
        <w:t>TRE19202-LOCALBANKS</w:t>
      </w:r>
    </w:p>
    <w:p w14:paraId="72EF5246" w14:textId="77777777" w:rsidR="004B0819" w:rsidRDefault="004B0819" w:rsidP="004B081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62344EAC" w14:textId="77777777" w:rsidR="004B0819" w:rsidRPr="00B93529" w:rsidRDefault="004B0819" w:rsidP="004B0819">
      <w:pPr>
        <w:jc w:val="both"/>
        <w:rPr>
          <w:sz w:val="22"/>
        </w:rPr>
      </w:pPr>
      <w:r w:rsidRPr="00B93529">
        <w:rPr>
          <w:sz w:val="22"/>
        </w:rPr>
        <w:t>As required by House Bill # 410 (Bond Bill) of the 146</w:t>
      </w:r>
      <w:r w:rsidRPr="00B93529">
        <w:rPr>
          <w:sz w:val="22"/>
          <w:vertAlign w:val="superscript"/>
        </w:rPr>
        <w:t>th</w:t>
      </w:r>
      <w:r w:rsidRPr="00B93529">
        <w:rPr>
          <w:sz w:val="22"/>
        </w:rPr>
        <w:t xml:space="preserve"> General Assembly and under Section 30, </w:t>
      </w:r>
      <w:r>
        <w:rPr>
          <w:sz w:val="22"/>
        </w:rPr>
        <w:t xml:space="preserve">no </w:t>
      </w:r>
      <w:r w:rsidRPr="00B93529">
        <w:rPr>
          <w:sz w:val="22"/>
        </w:rPr>
        <w:t>bid for any public works or professional services contract shall be responsive unless the prospective vendor discloses its reasonable, good-faith determination of:</w:t>
      </w:r>
    </w:p>
    <w:p w14:paraId="0BBB1772" w14:textId="77777777" w:rsidR="004B0819" w:rsidRPr="00B93529" w:rsidRDefault="004B0819" w:rsidP="004B0819">
      <w:pPr>
        <w:jc w:val="both"/>
        <w:rPr>
          <w:sz w:val="22"/>
        </w:rPr>
      </w:pPr>
    </w:p>
    <w:p w14:paraId="237F26AA" w14:textId="77777777" w:rsidR="004B0819" w:rsidRPr="00B93529" w:rsidRDefault="004B0819" w:rsidP="00A509A6">
      <w:pPr>
        <w:numPr>
          <w:ilvl w:val="0"/>
          <w:numId w:val="4"/>
        </w:numPr>
        <w:ind w:left="720"/>
        <w:contextualSpacing/>
        <w:jc w:val="both"/>
        <w:rPr>
          <w:sz w:val="22"/>
          <w:szCs w:val="20"/>
        </w:rPr>
      </w:pPr>
      <w:r w:rsidRPr="00B93529">
        <w:rPr>
          <w:sz w:val="22"/>
          <w:szCs w:val="20"/>
        </w:rPr>
        <w:t>Number of employees reasonabl</w:t>
      </w:r>
      <w:r>
        <w:rPr>
          <w:sz w:val="22"/>
          <w:szCs w:val="20"/>
        </w:rPr>
        <w:t>y</w:t>
      </w:r>
      <w:r w:rsidRPr="00B93529">
        <w:rPr>
          <w:sz w:val="22"/>
          <w:szCs w:val="20"/>
        </w:rPr>
        <w:t xml:space="preserve"> anticipated to be employed on the project:  ________</w:t>
      </w:r>
    </w:p>
    <w:p w14:paraId="5FFB0EB7"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3D705CD8" w14:textId="77777777" w:rsidR="004B0819" w:rsidRDefault="004B0819" w:rsidP="00A509A6">
      <w:pPr>
        <w:numPr>
          <w:ilvl w:val="0"/>
          <w:numId w:val="4"/>
        </w:numPr>
        <w:ind w:left="720"/>
        <w:contextualSpacing/>
        <w:jc w:val="both"/>
        <w:rPr>
          <w:sz w:val="22"/>
          <w:szCs w:val="20"/>
        </w:rPr>
      </w:pPr>
      <w:r w:rsidRPr="00B93529">
        <w:rPr>
          <w:sz w:val="22"/>
          <w:szCs w:val="20"/>
        </w:rPr>
        <w:t xml:space="preserve">Number </w:t>
      </w:r>
      <w:r>
        <w:rPr>
          <w:sz w:val="22"/>
          <w:szCs w:val="20"/>
        </w:rPr>
        <w:t>of</w:t>
      </w:r>
      <w:r w:rsidRPr="00B93529">
        <w:rPr>
          <w:sz w:val="22"/>
          <w:szCs w:val="20"/>
        </w:rPr>
        <w:t xml:space="preserve"> such employees who are </w:t>
      </w:r>
      <w:r>
        <w:rPr>
          <w:sz w:val="22"/>
          <w:szCs w:val="20"/>
        </w:rPr>
        <w:t>b</w:t>
      </w:r>
      <w:r w:rsidRPr="00B93529">
        <w:rPr>
          <w:sz w:val="22"/>
          <w:szCs w:val="20"/>
        </w:rPr>
        <w:t xml:space="preserve">ona </w:t>
      </w:r>
      <w:r>
        <w:rPr>
          <w:sz w:val="22"/>
          <w:szCs w:val="20"/>
        </w:rPr>
        <w:t>f</w:t>
      </w:r>
      <w:r w:rsidRPr="00B93529">
        <w:rPr>
          <w:sz w:val="22"/>
          <w:szCs w:val="20"/>
        </w:rPr>
        <w:t>ide legal residents</w:t>
      </w:r>
      <w:r>
        <w:rPr>
          <w:rStyle w:val="FootnoteReference"/>
          <w:sz w:val="22"/>
          <w:szCs w:val="20"/>
        </w:rPr>
        <w:footnoteReference w:id="2"/>
      </w:r>
      <w:r w:rsidRPr="00B93529">
        <w:rPr>
          <w:sz w:val="22"/>
          <w:szCs w:val="20"/>
        </w:rPr>
        <w:t xml:space="preserve"> of Delaware:   ______</w:t>
      </w:r>
      <w:r>
        <w:rPr>
          <w:sz w:val="22"/>
          <w:szCs w:val="20"/>
        </w:rPr>
        <w:t>___</w:t>
      </w:r>
    </w:p>
    <w:p w14:paraId="1AA6A68F" w14:textId="77777777" w:rsidR="004B0819" w:rsidRDefault="004B0819" w:rsidP="004B0819">
      <w:pPr>
        <w:pStyle w:val="ListParagraph"/>
        <w:rPr>
          <w:sz w:val="22"/>
          <w:szCs w:val="20"/>
        </w:rPr>
      </w:pPr>
    </w:p>
    <w:p w14:paraId="0650787F" w14:textId="77777777" w:rsidR="004B0819" w:rsidRPr="00793FB4" w:rsidRDefault="004B0819" w:rsidP="00A509A6">
      <w:pPr>
        <w:numPr>
          <w:ilvl w:val="0"/>
          <w:numId w:val="4"/>
        </w:numPr>
        <w:ind w:left="720"/>
        <w:contextualSpacing/>
        <w:jc w:val="both"/>
        <w:rPr>
          <w:sz w:val="22"/>
          <w:szCs w:val="20"/>
        </w:rPr>
      </w:pPr>
      <w:r w:rsidRPr="00793FB4">
        <w:rPr>
          <w:sz w:val="22"/>
          <w:szCs w:val="20"/>
        </w:rPr>
        <w:t>Percentage of such employees who are bona fide legal residents of Delaware:   ______</w:t>
      </w:r>
    </w:p>
    <w:p w14:paraId="582B4A9F" w14:textId="77777777" w:rsidR="004B0819" w:rsidRPr="00591B45" w:rsidRDefault="004B0819" w:rsidP="004B0819">
      <w:pPr>
        <w:ind w:left="720" w:hanging="360"/>
        <w:jc w:val="both"/>
        <w:rPr>
          <w:sz w:val="22"/>
        </w:rPr>
      </w:pPr>
    </w:p>
    <w:p w14:paraId="0FDA8F3B" w14:textId="77777777" w:rsidR="004B0819" w:rsidRPr="00B93529" w:rsidRDefault="004B0819" w:rsidP="00A509A6">
      <w:pPr>
        <w:numPr>
          <w:ilvl w:val="0"/>
          <w:numId w:val="4"/>
        </w:numPr>
        <w:ind w:left="720"/>
        <w:contextualSpacing/>
        <w:jc w:val="both"/>
        <w:rPr>
          <w:sz w:val="22"/>
          <w:szCs w:val="20"/>
        </w:rPr>
      </w:pPr>
      <w:r w:rsidRPr="00B93529">
        <w:rPr>
          <w:sz w:val="22"/>
          <w:szCs w:val="20"/>
        </w:rPr>
        <w:t>Total number of employees of the vendor: ___________</w:t>
      </w:r>
      <w:r>
        <w:rPr>
          <w:sz w:val="22"/>
          <w:szCs w:val="20"/>
        </w:rPr>
        <w:t>_____</w:t>
      </w:r>
    </w:p>
    <w:p w14:paraId="4EB57943"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22F9ED56" w14:textId="77777777" w:rsidR="004B0819" w:rsidRPr="00B93529" w:rsidRDefault="004B0819" w:rsidP="00A509A6">
      <w:pPr>
        <w:numPr>
          <w:ilvl w:val="0"/>
          <w:numId w:val="4"/>
        </w:numPr>
        <w:ind w:left="720"/>
        <w:contextualSpacing/>
        <w:jc w:val="both"/>
        <w:rPr>
          <w:sz w:val="22"/>
          <w:szCs w:val="20"/>
        </w:rPr>
      </w:pPr>
      <w:r w:rsidRPr="00B93529">
        <w:rPr>
          <w:sz w:val="22"/>
          <w:szCs w:val="20"/>
        </w:rPr>
        <w:t>Total percentage of employees who are bona fide resident</w:t>
      </w:r>
      <w:r w:rsidR="007D6AD0">
        <w:rPr>
          <w:sz w:val="22"/>
          <w:szCs w:val="20"/>
        </w:rPr>
        <w:t>s</w:t>
      </w:r>
      <w:r w:rsidRPr="00B93529">
        <w:rPr>
          <w:sz w:val="22"/>
          <w:szCs w:val="20"/>
        </w:rPr>
        <w:t xml:space="preserve"> of Delaware:</w:t>
      </w:r>
      <w:r w:rsidRPr="00591C3C">
        <w:rPr>
          <w:sz w:val="22"/>
          <w:szCs w:val="20"/>
        </w:rPr>
        <w:t xml:space="preserve"> </w:t>
      </w:r>
      <w:r w:rsidRPr="00B93529">
        <w:rPr>
          <w:sz w:val="22"/>
          <w:szCs w:val="20"/>
        </w:rPr>
        <w:t>___________</w:t>
      </w:r>
      <w:r>
        <w:rPr>
          <w:sz w:val="22"/>
          <w:szCs w:val="20"/>
        </w:rPr>
        <w:t>__</w:t>
      </w:r>
    </w:p>
    <w:p w14:paraId="6912C898" w14:textId="77777777" w:rsidR="004B0819" w:rsidRPr="00B93529" w:rsidRDefault="004B0819" w:rsidP="004B0819">
      <w:pPr>
        <w:jc w:val="both"/>
        <w:rPr>
          <w:sz w:val="22"/>
        </w:rPr>
      </w:pPr>
    </w:p>
    <w:p w14:paraId="10A64C95" w14:textId="77777777" w:rsidR="004B0819" w:rsidRPr="00793FB4" w:rsidRDefault="004B0819" w:rsidP="004B0819">
      <w:pPr>
        <w:jc w:val="both"/>
        <w:rPr>
          <w:i/>
          <w:sz w:val="22"/>
        </w:rPr>
      </w:pPr>
      <w:r w:rsidRPr="00793FB4">
        <w:rPr>
          <w:i/>
          <w:sz w:val="22"/>
        </w:rPr>
        <w:t xml:space="preserve">If subcontractors are to </w:t>
      </w:r>
      <w:proofErr w:type="gramStart"/>
      <w:r w:rsidRPr="00793FB4">
        <w:rPr>
          <w:i/>
          <w:sz w:val="22"/>
        </w:rPr>
        <w:t>be used</w:t>
      </w:r>
      <w:proofErr w:type="gramEnd"/>
      <w:r w:rsidRPr="00793FB4">
        <w:rPr>
          <w:i/>
          <w:sz w:val="22"/>
        </w:rPr>
        <w:t>:</w:t>
      </w:r>
    </w:p>
    <w:p w14:paraId="56D4B00B" w14:textId="77777777" w:rsidR="004B0819" w:rsidRPr="00B93529" w:rsidRDefault="004B0819" w:rsidP="004B0819">
      <w:pPr>
        <w:jc w:val="both"/>
        <w:rPr>
          <w:sz w:val="22"/>
        </w:rPr>
      </w:pPr>
    </w:p>
    <w:p w14:paraId="38726D83" w14:textId="77777777" w:rsidR="004B0819" w:rsidRPr="00B93529" w:rsidRDefault="004B0819" w:rsidP="00A509A6">
      <w:pPr>
        <w:numPr>
          <w:ilvl w:val="0"/>
          <w:numId w:val="5"/>
        </w:numPr>
        <w:ind w:left="720"/>
        <w:contextualSpacing/>
        <w:jc w:val="both"/>
        <w:rPr>
          <w:sz w:val="22"/>
          <w:szCs w:val="20"/>
        </w:rPr>
      </w:pPr>
      <w:r w:rsidRPr="00B93529">
        <w:rPr>
          <w:sz w:val="22"/>
          <w:szCs w:val="20"/>
        </w:rPr>
        <w:t>Number of employees who are residents of Delaware:  ___________</w:t>
      </w:r>
      <w:r>
        <w:rPr>
          <w:sz w:val="22"/>
          <w:szCs w:val="20"/>
        </w:rPr>
        <w:t>__________</w:t>
      </w:r>
    </w:p>
    <w:p w14:paraId="18E01A6D"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68628749" w14:textId="77777777" w:rsidR="004B0819" w:rsidRPr="00B93529" w:rsidRDefault="004B0819" w:rsidP="00A509A6">
      <w:pPr>
        <w:numPr>
          <w:ilvl w:val="0"/>
          <w:numId w:val="5"/>
        </w:numPr>
        <w:ind w:left="720"/>
        <w:contextualSpacing/>
        <w:jc w:val="both"/>
        <w:rPr>
          <w:sz w:val="22"/>
          <w:szCs w:val="20"/>
        </w:rPr>
      </w:pPr>
      <w:r w:rsidRPr="00B93529">
        <w:rPr>
          <w:sz w:val="22"/>
          <w:szCs w:val="20"/>
        </w:rPr>
        <w:t>Percentage of employees who are residents of Delaware:  ___________</w:t>
      </w:r>
      <w:r>
        <w:rPr>
          <w:sz w:val="22"/>
          <w:szCs w:val="20"/>
        </w:rPr>
        <w:t>__________</w:t>
      </w:r>
    </w:p>
    <w:p w14:paraId="26ECE47F"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6906A1F8" w14:textId="77777777" w:rsidR="004B0819" w:rsidRPr="00B93529" w:rsidRDefault="004B0819" w:rsidP="004B0819">
      <w:pPr>
        <w:rPr>
          <w:b/>
        </w:rPr>
      </w:pPr>
    </w:p>
    <w:p w14:paraId="3E808C06" w14:textId="77777777" w:rsidR="004B0819" w:rsidRPr="00B93529" w:rsidRDefault="004B0819" w:rsidP="004B0819">
      <w:pPr>
        <w:jc w:val="right"/>
        <w:rPr>
          <w:b/>
        </w:rPr>
      </w:pPr>
    </w:p>
    <w:p w14:paraId="64888F5B" w14:textId="77777777" w:rsidR="004B0819" w:rsidRPr="00B93529" w:rsidRDefault="004B0819" w:rsidP="004B0819">
      <w:pPr>
        <w:jc w:val="right"/>
        <w:rPr>
          <w:b/>
        </w:rPr>
      </w:pPr>
    </w:p>
    <w:p w14:paraId="65F07358" w14:textId="77777777" w:rsidR="004B0819" w:rsidRPr="00B93529" w:rsidRDefault="004B0819" w:rsidP="004B0819">
      <w:pPr>
        <w:jc w:val="right"/>
        <w:rPr>
          <w:b/>
        </w:rPr>
      </w:pPr>
    </w:p>
    <w:p w14:paraId="5485D647" w14:textId="77777777" w:rsidR="004B0819" w:rsidRPr="00B93529" w:rsidRDefault="004B0819" w:rsidP="004B0819">
      <w:pPr>
        <w:jc w:val="right"/>
        <w:rPr>
          <w:b/>
        </w:rPr>
      </w:pPr>
    </w:p>
    <w:p w14:paraId="2D7A3D6F" w14:textId="77777777" w:rsidR="004B0819" w:rsidRPr="00B93529" w:rsidRDefault="004B0819" w:rsidP="004B0819">
      <w:pPr>
        <w:jc w:val="right"/>
        <w:rPr>
          <w:b/>
        </w:rPr>
      </w:pPr>
    </w:p>
    <w:p w14:paraId="4593846B" w14:textId="77777777" w:rsidR="004B0819" w:rsidRPr="00B93529" w:rsidRDefault="004B0819" w:rsidP="004B0819">
      <w:pPr>
        <w:jc w:val="right"/>
        <w:rPr>
          <w:b/>
        </w:rPr>
      </w:pPr>
    </w:p>
    <w:p w14:paraId="474BE672" w14:textId="77777777" w:rsidR="004B0819" w:rsidRPr="00B93529" w:rsidRDefault="004B0819" w:rsidP="004B0819">
      <w:pPr>
        <w:jc w:val="right"/>
        <w:rPr>
          <w:b/>
        </w:rPr>
      </w:pPr>
    </w:p>
    <w:p w14:paraId="45D47AA1" w14:textId="77777777" w:rsidR="004B0819" w:rsidRPr="00B93529" w:rsidRDefault="004B0819" w:rsidP="004B0819">
      <w:pPr>
        <w:jc w:val="right"/>
        <w:rPr>
          <w:b/>
        </w:rPr>
      </w:pPr>
    </w:p>
    <w:p w14:paraId="03715CD1" w14:textId="77777777" w:rsidR="004B0819" w:rsidRPr="00B93529" w:rsidRDefault="004B0819" w:rsidP="004B0819">
      <w:pPr>
        <w:jc w:val="right"/>
        <w:rPr>
          <w:b/>
        </w:rPr>
      </w:pPr>
    </w:p>
    <w:p w14:paraId="2F0267BD" w14:textId="77777777" w:rsidR="004B0819" w:rsidRPr="00B93529" w:rsidRDefault="004B0819" w:rsidP="004B0819">
      <w:pPr>
        <w:jc w:val="right"/>
        <w:rPr>
          <w:b/>
        </w:rPr>
      </w:pPr>
    </w:p>
    <w:p w14:paraId="0A527EC7" w14:textId="77777777" w:rsidR="004B0819" w:rsidRPr="00B93529" w:rsidRDefault="004B0819" w:rsidP="004B0819">
      <w:pPr>
        <w:jc w:val="right"/>
        <w:rPr>
          <w:b/>
        </w:rPr>
      </w:pPr>
    </w:p>
    <w:p w14:paraId="19D645DA" w14:textId="77777777" w:rsidR="004B0819" w:rsidRPr="00B93529" w:rsidRDefault="004B0819" w:rsidP="004B0819">
      <w:pPr>
        <w:jc w:val="right"/>
        <w:rPr>
          <w:b/>
        </w:rPr>
      </w:pPr>
    </w:p>
    <w:p w14:paraId="4C428074" w14:textId="77777777" w:rsidR="004B0819" w:rsidRPr="00B93529" w:rsidRDefault="004B0819" w:rsidP="004B0819">
      <w:pPr>
        <w:jc w:val="right"/>
        <w:rPr>
          <w:b/>
        </w:rPr>
      </w:pPr>
    </w:p>
    <w:p w14:paraId="2E46CE30" w14:textId="77777777" w:rsidR="004B0819" w:rsidRPr="00B93529" w:rsidRDefault="004B0819" w:rsidP="004B0819">
      <w:pPr>
        <w:jc w:val="right"/>
        <w:rPr>
          <w:b/>
        </w:rPr>
      </w:pPr>
    </w:p>
    <w:p w14:paraId="6D60DE6D" w14:textId="77777777" w:rsidR="004B0819" w:rsidRDefault="004B0819" w:rsidP="004B0819"/>
    <w:p w14:paraId="3841F761" w14:textId="77777777" w:rsidR="004B0819" w:rsidRDefault="004B0819" w:rsidP="004B0819"/>
    <w:p w14:paraId="55BC20C6" w14:textId="77777777" w:rsidR="004B0819" w:rsidRDefault="004B0819" w:rsidP="004B0819"/>
    <w:p w14:paraId="2D423248" w14:textId="77777777" w:rsidR="004B0819" w:rsidRDefault="004B0819" w:rsidP="004B0819"/>
    <w:p w14:paraId="5F8FD2A4" w14:textId="77777777" w:rsidR="007941D3" w:rsidRDefault="007941D3" w:rsidP="00E40F87">
      <w:pPr>
        <w:rPr>
          <w:rFonts w:ascii="Arial Black" w:hAnsi="Arial Black"/>
          <w:b/>
          <w:sz w:val="28"/>
          <w:szCs w:val="28"/>
        </w:rPr>
      </w:pPr>
    </w:p>
    <w:p w14:paraId="2B90B94B" w14:textId="77777777" w:rsidR="007941D3" w:rsidRDefault="007941D3" w:rsidP="00E40F87">
      <w:pPr>
        <w:rPr>
          <w:rFonts w:ascii="Arial Black" w:hAnsi="Arial Black"/>
          <w:b/>
          <w:sz w:val="28"/>
          <w:szCs w:val="28"/>
        </w:rPr>
      </w:pPr>
    </w:p>
    <w:p w14:paraId="6A21324F" w14:textId="77777777" w:rsidR="00B93529" w:rsidRDefault="00B93529" w:rsidP="00BA2BE4"/>
    <w:p w14:paraId="1693E628" w14:textId="77777777" w:rsidR="00E76DEE" w:rsidRPr="00F41FBE" w:rsidRDefault="00E76DEE" w:rsidP="00F13394">
      <w:pPr>
        <w:pStyle w:val="Heading4"/>
      </w:pPr>
      <w:r>
        <w:t>Appendix</w:t>
      </w:r>
      <w:r w:rsidRPr="00DD2A68">
        <w:t xml:space="preserve"> </w:t>
      </w:r>
      <w:r>
        <w:t>A:  Scope of Services</w:t>
      </w:r>
      <w:r w:rsidR="00BB2C78">
        <w:rPr>
          <w:rStyle w:val="FootnoteReference"/>
        </w:rPr>
        <w:footnoteReference w:id="3"/>
      </w:r>
    </w:p>
    <w:p w14:paraId="42F13DC2" w14:textId="77777777" w:rsidR="00E76DEE" w:rsidRPr="00351963" w:rsidRDefault="00E76DEE" w:rsidP="00E76DEE">
      <w:pPr>
        <w:rPr>
          <w:rFonts w:ascii="Arial Black" w:hAnsi="Arial Black"/>
          <w:b/>
          <w:color w:val="FF0000"/>
          <w:sz w:val="28"/>
          <w:szCs w:val="28"/>
        </w:rPr>
      </w:pPr>
      <w:r w:rsidRPr="00F41FBE">
        <w:rPr>
          <w:sz w:val="20"/>
          <w:szCs w:val="20"/>
        </w:rPr>
        <w:t>CONTRACT NUMBER:</w:t>
      </w:r>
      <w:r w:rsidRPr="00F41FBE">
        <w:rPr>
          <w:sz w:val="20"/>
          <w:szCs w:val="20"/>
        </w:rPr>
        <w:tab/>
      </w:r>
      <w:r w:rsidR="0083613B" w:rsidRPr="00CC34E6">
        <w:rPr>
          <w:sz w:val="20"/>
          <w:szCs w:val="20"/>
        </w:rPr>
        <w:t>TRE19202-LOCALBANKS</w:t>
      </w:r>
    </w:p>
    <w:p w14:paraId="3BDB2247" w14:textId="77777777" w:rsidR="00E76DEE" w:rsidRDefault="00D970C3" w:rsidP="00E76DEE">
      <w:pPr>
        <w:jc w:val="both"/>
      </w:pPr>
      <w:r>
        <w:tab/>
      </w:r>
    </w:p>
    <w:p w14:paraId="60BEDFB9" w14:textId="77777777" w:rsidR="00D970C3" w:rsidRPr="00D970C3" w:rsidRDefault="00B27E36" w:rsidP="00366CD9">
      <w:pPr>
        <w:pStyle w:val="Heading5"/>
        <w:numPr>
          <w:ilvl w:val="0"/>
          <w:numId w:val="168"/>
        </w:numPr>
      </w:pPr>
      <w:r>
        <w:t xml:space="preserve">Local </w:t>
      </w:r>
      <w:r w:rsidR="00E841AC">
        <w:t>Banking</w:t>
      </w:r>
    </w:p>
    <w:p w14:paraId="1599A58F" w14:textId="77777777" w:rsidR="00162599" w:rsidRDefault="00162599" w:rsidP="00AF1CD9">
      <w:pPr>
        <w:pStyle w:val="ScopeofServices"/>
        <w:jc w:val="both"/>
        <w:rPr>
          <w:b/>
          <w:u w:val="single"/>
        </w:rPr>
      </w:pPr>
    </w:p>
    <w:p w14:paraId="42712143" w14:textId="68B06177" w:rsidR="005F67A6" w:rsidRDefault="00824093" w:rsidP="00AF1CD9">
      <w:pPr>
        <w:pStyle w:val="ScopeofServices"/>
        <w:jc w:val="both"/>
      </w:pPr>
      <w:r>
        <w:t>Although the State utilizes a primary OTC collections account, t</w:t>
      </w:r>
      <w:r w:rsidR="00D970C3" w:rsidRPr="00D970C3">
        <w:t>her</w:t>
      </w:r>
      <w:r w:rsidR="004B3078">
        <w:t xml:space="preserve">e are currently over </w:t>
      </w:r>
      <w:r w:rsidR="00162599">
        <w:t xml:space="preserve">300 </w:t>
      </w:r>
      <w:r w:rsidR="004B3078">
        <w:t>State a</w:t>
      </w:r>
      <w:r w:rsidR="005F67A6">
        <w:t>gency accounts a</w:t>
      </w:r>
      <w:r>
        <w:t>cross</w:t>
      </w:r>
      <w:r w:rsidR="005F67A6">
        <w:t xml:space="preserve"> multiple</w:t>
      </w:r>
      <w:r w:rsidR="00D970C3" w:rsidRPr="00D970C3">
        <w:t xml:space="preserve"> financial institutions.</w:t>
      </w:r>
      <w:r w:rsidR="005F67A6">
        <w:t xml:space="preserve"> These accounts are necessary to provide </w:t>
      </w:r>
      <w:r w:rsidR="006B6B7F">
        <w:t xml:space="preserve">the respective agencies with </w:t>
      </w:r>
      <w:r w:rsidR="005F67A6">
        <w:t xml:space="preserve">a convenient </w:t>
      </w:r>
      <w:r w:rsidR="00327E76">
        <w:t>location to make branch deposits</w:t>
      </w:r>
      <w:r w:rsidR="006B6B7F">
        <w:t>.</w:t>
      </w:r>
      <w:r w:rsidR="00327E76">
        <w:t xml:space="preserve"> The activity within these accounts is primary paper-based (i.e. coin, currency, and check) deposits. Some accounts will require </w:t>
      </w:r>
      <w:r w:rsidR="00BB176C">
        <w:t xml:space="preserve">check disbursement capability. The State may consider </w:t>
      </w:r>
      <w:r w:rsidR="00125A74">
        <w:t xml:space="preserve">Vendor </w:t>
      </w:r>
      <w:r w:rsidR="00BB176C">
        <w:t xml:space="preserve">requests for additional information regarding the details of these accounts. </w:t>
      </w:r>
    </w:p>
    <w:p w14:paraId="0915D7AB" w14:textId="77777777" w:rsidR="00327E76" w:rsidRDefault="00327E76" w:rsidP="00AF1CD9">
      <w:pPr>
        <w:pStyle w:val="ScopeofServices"/>
        <w:jc w:val="both"/>
      </w:pPr>
    </w:p>
    <w:p w14:paraId="25FF63CF" w14:textId="77777777" w:rsidR="009D19DE" w:rsidRDefault="00327E76" w:rsidP="00327E76">
      <w:pPr>
        <w:pStyle w:val="ScopeofServices"/>
        <w:jc w:val="both"/>
      </w:pPr>
      <w:r>
        <w:t xml:space="preserve">The aggregate volume for these State agency accounts </w:t>
      </w:r>
      <w:proofErr w:type="gramStart"/>
      <w:r>
        <w:t>are identified</w:t>
      </w:r>
      <w:proofErr w:type="gramEnd"/>
      <w:r>
        <w:t xml:space="preserve"> in </w:t>
      </w:r>
      <w:r w:rsidR="00D970C3" w:rsidRPr="00692BE0">
        <w:rPr>
          <w:b/>
        </w:rPr>
        <w:t>A</w:t>
      </w:r>
      <w:r w:rsidR="006F37BC" w:rsidRPr="006F37BC">
        <w:rPr>
          <w:b/>
        </w:rPr>
        <w:t>ttachment 4</w:t>
      </w:r>
      <w:r>
        <w:rPr>
          <w:b/>
        </w:rPr>
        <w:t xml:space="preserve">.  </w:t>
      </w:r>
      <w:r w:rsidRPr="00327E76">
        <w:t>Through this RFP</w:t>
      </w:r>
      <w:r w:rsidR="00824093">
        <w:t>, t</w:t>
      </w:r>
      <w:r w:rsidR="00824093" w:rsidRPr="00824093">
        <w:t>he State intends to iss</w:t>
      </w:r>
      <w:r w:rsidR="006B6B7F">
        <w:t>ue a non-exclusive award for a</w:t>
      </w:r>
      <w:r w:rsidR="00824093" w:rsidRPr="00824093">
        <w:t xml:space="preserve"> primary OTC collection</w:t>
      </w:r>
      <w:r w:rsidR="00C335C1">
        <w:t>s</w:t>
      </w:r>
      <w:r w:rsidR="00824093" w:rsidRPr="00824093">
        <w:t xml:space="preserve"> account, as well as multiple awards – potentially 4 to 6, for additional local banks to provide agencies with local branch banking services</w:t>
      </w:r>
      <w:r w:rsidR="00824093">
        <w:t xml:space="preserve">. Given the likelihood of multiple award winners, </w:t>
      </w:r>
      <w:r w:rsidR="009D19DE">
        <w:t xml:space="preserve">selected Vendors will only provide a </w:t>
      </w:r>
      <w:r w:rsidR="00C335C1">
        <w:t xml:space="preserve">portion </w:t>
      </w:r>
      <w:r w:rsidR="009D19DE">
        <w:t>of the</w:t>
      </w:r>
      <w:r w:rsidR="00494D80">
        <w:t xml:space="preserve"> volumes identified in Attachment 4</w:t>
      </w:r>
      <w:r w:rsidR="009D19DE">
        <w:t xml:space="preserve">. </w:t>
      </w:r>
      <w:r w:rsidR="003929CD" w:rsidRPr="003929CD">
        <w:t>Individual State agencies will be able to select their preferred bank from this list of pre-qualified institutions.</w:t>
      </w:r>
    </w:p>
    <w:p w14:paraId="51A4C7E0" w14:textId="77777777" w:rsidR="009D19DE" w:rsidRDefault="009D19DE" w:rsidP="00327E76">
      <w:pPr>
        <w:pStyle w:val="ScopeofServices"/>
        <w:jc w:val="both"/>
      </w:pPr>
    </w:p>
    <w:p w14:paraId="3994C7BF" w14:textId="77777777" w:rsidR="009D19DE" w:rsidRDefault="009D19DE" w:rsidP="00327E76">
      <w:pPr>
        <w:pStyle w:val="ScopeofServices"/>
        <w:jc w:val="both"/>
      </w:pPr>
      <w:r>
        <w:t xml:space="preserve">This RFP </w:t>
      </w:r>
      <w:proofErr w:type="gramStart"/>
      <w:r>
        <w:t>is designed</w:t>
      </w:r>
      <w:proofErr w:type="gramEnd"/>
      <w:r>
        <w:t xml:space="preserve"> to achieve the following objectives:</w:t>
      </w:r>
    </w:p>
    <w:p w14:paraId="1BBFCF65" w14:textId="77777777" w:rsidR="009D19DE" w:rsidRDefault="009D19DE" w:rsidP="00327E76">
      <w:pPr>
        <w:pStyle w:val="ScopeofServices"/>
        <w:jc w:val="both"/>
      </w:pPr>
    </w:p>
    <w:p w14:paraId="28840379" w14:textId="77777777" w:rsidR="009D19DE" w:rsidRPr="009D19DE" w:rsidRDefault="009D19DE" w:rsidP="009D19DE">
      <w:pPr>
        <w:pStyle w:val="Heading3"/>
        <w:numPr>
          <w:ilvl w:val="2"/>
          <w:numId w:val="168"/>
        </w:numPr>
        <w:spacing w:before="0" w:after="0"/>
        <w:jc w:val="both"/>
        <w:rPr>
          <w:b w:val="0"/>
          <w:bCs w:val="0"/>
          <w:color w:val="000000"/>
        </w:rPr>
      </w:pPr>
      <w:r w:rsidRPr="009D19DE">
        <w:rPr>
          <w:b w:val="0"/>
          <w:bCs w:val="0"/>
          <w:color w:val="000000"/>
        </w:rPr>
        <w:t xml:space="preserve">Centralized contract administration of </w:t>
      </w:r>
      <w:r w:rsidR="00627F8D">
        <w:rPr>
          <w:b w:val="0"/>
          <w:bCs w:val="0"/>
          <w:color w:val="000000"/>
        </w:rPr>
        <w:t xml:space="preserve">Vendor </w:t>
      </w:r>
      <w:r w:rsidRPr="009D19DE">
        <w:rPr>
          <w:b w:val="0"/>
          <w:bCs w:val="0"/>
          <w:color w:val="000000"/>
        </w:rPr>
        <w:t xml:space="preserve">relationships </w:t>
      </w:r>
      <w:r w:rsidR="00627F8D">
        <w:rPr>
          <w:b w:val="0"/>
          <w:bCs w:val="0"/>
          <w:color w:val="000000"/>
        </w:rPr>
        <w:t>through OST</w:t>
      </w:r>
      <w:r w:rsidRPr="009D19DE">
        <w:rPr>
          <w:b w:val="0"/>
          <w:bCs w:val="0"/>
          <w:color w:val="000000"/>
        </w:rPr>
        <w:t>;</w:t>
      </w:r>
    </w:p>
    <w:p w14:paraId="6B86121F" w14:textId="0B4EF475" w:rsidR="001A5057" w:rsidRPr="001A5057" w:rsidRDefault="00D30CAD" w:rsidP="00E93EA0">
      <w:pPr>
        <w:pStyle w:val="Heading3"/>
        <w:numPr>
          <w:ilvl w:val="2"/>
          <w:numId w:val="168"/>
        </w:numPr>
        <w:spacing w:before="0" w:after="0"/>
        <w:jc w:val="both"/>
      </w:pPr>
      <w:r w:rsidRPr="001A5057">
        <w:rPr>
          <w:b w:val="0"/>
          <w:bCs w:val="0"/>
          <w:color w:val="000000"/>
        </w:rPr>
        <w:t xml:space="preserve">Centralized </w:t>
      </w:r>
      <w:r w:rsidR="001A5057" w:rsidRPr="001A5057">
        <w:rPr>
          <w:b w:val="0"/>
          <w:bCs w:val="0"/>
          <w:color w:val="000000"/>
        </w:rPr>
        <w:t>oversight of State</w:t>
      </w:r>
      <w:r w:rsidR="00511725">
        <w:rPr>
          <w:b w:val="0"/>
          <w:bCs w:val="0"/>
          <w:color w:val="000000"/>
        </w:rPr>
        <w:t xml:space="preserve"> entity</w:t>
      </w:r>
      <w:r w:rsidR="001A5057" w:rsidRPr="001A5057">
        <w:rPr>
          <w:b w:val="0"/>
          <w:bCs w:val="0"/>
          <w:color w:val="000000"/>
        </w:rPr>
        <w:t xml:space="preserve"> accounts by OST;</w:t>
      </w:r>
      <w:r w:rsidR="00627F8D">
        <w:rPr>
          <w:b w:val="0"/>
          <w:bCs w:val="0"/>
          <w:color w:val="000000"/>
        </w:rPr>
        <w:t xml:space="preserve"> and</w:t>
      </w:r>
    </w:p>
    <w:p w14:paraId="11720EF3" w14:textId="543AE713" w:rsidR="009D19DE" w:rsidRPr="009D19DE" w:rsidRDefault="001A5057" w:rsidP="009D19DE">
      <w:pPr>
        <w:pStyle w:val="Heading3"/>
        <w:numPr>
          <w:ilvl w:val="2"/>
          <w:numId w:val="168"/>
        </w:numPr>
        <w:spacing w:before="0" w:after="0"/>
        <w:jc w:val="both"/>
        <w:rPr>
          <w:b w:val="0"/>
          <w:bCs w:val="0"/>
          <w:color w:val="000000"/>
        </w:rPr>
      </w:pPr>
      <w:r>
        <w:rPr>
          <w:b w:val="0"/>
          <w:bCs w:val="0"/>
          <w:color w:val="000000"/>
        </w:rPr>
        <w:t xml:space="preserve">Consistent pricing across State </w:t>
      </w:r>
      <w:r w:rsidR="00511725">
        <w:rPr>
          <w:b w:val="0"/>
          <w:bCs w:val="0"/>
          <w:color w:val="000000"/>
        </w:rPr>
        <w:t>entity</w:t>
      </w:r>
      <w:r>
        <w:rPr>
          <w:b w:val="0"/>
          <w:bCs w:val="0"/>
          <w:color w:val="000000"/>
        </w:rPr>
        <w:t xml:space="preserve"> accounts with individual Vendors.</w:t>
      </w:r>
      <w:r w:rsidR="009D19DE" w:rsidRPr="009D19DE">
        <w:rPr>
          <w:b w:val="0"/>
          <w:bCs w:val="0"/>
          <w:color w:val="000000"/>
        </w:rPr>
        <w:t xml:space="preserve"> </w:t>
      </w:r>
    </w:p>
    <w:p w14:paraId="5FB4321A" w14:textId="77777777" w:rsidR="00D970C3" w:rsidRDefault="00D970C3" w:rsidP="00D970C3">
      <w:pPr>
        <w:pStyle w:val="ScopeofServices"/>
      </w:pPr>
    </w:p>
    <w:p w14:paraId="1EF307A2" w14:textId="77777777" w:rsidR="00D970C3" w:rsidRPr="00D970C3" w:rsidRDefault="00D970C3" w:rsidP="001777FA">
      <w:pPr>
        <w:pStyle w:val="ListParagraph"/>
        <w:numPr>
          <w:ilvl w:val="0"/>
          <w:numId w:val="47"/>
        </w:numPr>
        <w:rPr>
          <w:b/>
          <w:sz w:val="20"/>
          <w:szCs w:val="20"/>
        </w:rPr>
      </w:pPr>
      <w:r w:rsidRPr="00D970C3">
        <w:rPr>
          <w:b/>
          <w:sz w:val="20"/>
          <w:szCs w:val="20"/>
        </w:rPr>
        <w:t xml:space="preserve">Relationship Management: </w:t>
      </w:r>
      <w:r w:rsidRPr="00D970C3">
        <w:rPr>
          <w:sz w:val="20"/>
          <w:szCs w:val="20"/>
        </w:rPr>
        <w:t xml:space="preserve">Regular communication with the State’s financial institution, as well as support from the relationship management team is essential to the success of this relationship. </w:t>
      </w:r>
    </w:p>
    <w:p w14:paraId="6C7892D0" w14:textId="77777777" w:rsidR="00D970C3" w:rsidRPr="00D970C3" w:rsidRDefault="00D970C3" w:rsidP="00D970C3">
      <w:pPr>
        <w:rPr>
          <w:b/>
          <w:sz w:val="20"/>
          <w:szCs w:val="20"/>
        </w:rPr>
      </w:pPr>
    </w:p>
    <w:p w14:paraId="68A521E8" w14:textId="77777777" w:rsidR="00D970C3" w:rsidRPr="00D970C3" w:rsidRDefault="00D970C3" w:rsidP="001777FA">
      <w:pPr>
        <w:pStyle w:val="ListParagraph"/>
        <w:numPr>
          <w:ilvl w:val="0"/>
          <w:numId w:val="55"/>
        </w:numPr>
        <w:rPr>
          <w:sz w:val="20"/>
          <w:szCs w:val="20"/>
        </w:rPr>
      </w:pPr>
      <w:r w:rsidRPr="00D970C3">
        <w:rPr>
          <w:sz w:val="20"/>
          <w:szCs w:val="20"/>
        </w:rPr>
        <w:t>Review of open issues and problems;</w:t>
      </w:r>
    </w:p>
    <w:p w14:paraId="2212B44C" w14:textId="77777777" w:rsidR="00D970C3" w:rsidRPr="00D970C3" w:rsidRDefault="00D970C3" w:rsidP="001777FA">
      <w:pPr>
        <w:pStyle w:val="ListParagraph"/>
        <w:numPr>
          <w:ilvl w:val="0"/>
          <w:numId w:val="55"/>
        </w:numPr>
        <w:rPr>
          <w:sz w:val="20"/>
          <w:szCs w:val="20"/>
        </w:rPr>
      </w:pPr>
      <w:r w:rsidRPr="00D970C3">
        <w:rPr>
          <w:sz w:val="20"/>
          <w:szCs w:val="20"/>
        </w:rPr>
        <w:t>Review of the monthly account analysis statement</w:t>
      </w:r>
      <w:r w:rsidR="00791E87">
        <w:rPr>
          <w:sz w:val="20"/>
          <w:szCs w:val="20"/>
        </w:rPr>
        <w:t>s</w:t>
      </w:r>
      <w:r w:rsidRPr="00D970C3">
        <w:rPr>
          <w:sz w:val="20"/>
          <w:szCs w:val="20"/>
        </w:rPr>
        <w:t xml:space="preserve"> to determine if volume counts are appropriate and consistent, and to be sure that contract pricing is properly applied;</w:t>
      </w:r>
    </w:p>
    <w:p w14:paraId="429B9A7B" w14:textId="77777777" w:rsidR="00D970C3" w:rsidRPr="00D970C3" w:rsidRDefault="00D970C3" w:rsidP="001777FA">
      <w:pPr>
        <w:pStyle w:val="ListParagraph"/>
        <w:numPr>
          <w:ilvl w:val="0"/>
          <w:numId w:val="55"/>
        </w:numPr>
        <w:rPr>
          <w:sz w:val="20"/>
          <w:szCs w:val="20"/>
        </w:rPr>
      </w:pPr>
      <w:r w:rsidRPr="00D970C3">
        <w:rPr>
          <w:sz w:val="20"/>
          <w:szCs w:val="20"/>
        </w:rPr>
        <w:t>Consider any new products that could replace or enhance existing services or increase efficiency;</w:t>
      </w:r>
    </w:p>
    <w:p w14:paraId="66823679" w14:textId="77777777" w:rsidR="00D970C3" w:rsidRPr="00D970C3" w:rsidRDefault="00D970C3" w:rsidP="001777FA">
      <w:pPr>
        <w:pStyle w:val="ListParagraph"/>
        <w:numPr>
          <w:ilvl w:val="0"/>
          <w:numId w:val="55"/>
        </w:numPr>
        <w:rPr>
          <w:sz w:val="20"/>
          <w:szCs w:val="20"/>
        </w:rPr>
      </w:pPr>
      <w:r w:rsidRPr="00D970C3">
        <w:rPr>
          <w:sz w:val="20"/>
          <w:szCs w:val="20"/>
        </w:rPr>
        <w:t>Determine if there are less expensive ways to process transactions without sacrificing efficiency;</w:t>
      </w:r>
    </w:p>
    <w:p w14:paraId="2C70BF56" w14:textId="77777777" w:rsidR="00D970C3" w:rsidRPr="00D970C3" w:rsidRDefault="00D970C3" w:rsidP="001777FA">
      <w:pPr>
        <w:pStyle w:val="ListParagraph"/>
        <w:numPr>
          <w:ilvl w:val="0"/>
          <w:numId w:val="55"/>
        </w:numPr>
        <w:rPr>
          <w:sz w:val="20"/>
          <w:szCs w:val="20"/>
        </w:rPr>
      </w:pPr>
      <w:r w:rsidRPr="00D970C3">
        <w:rPr>
          <w:sz w:val="20"/>
          <w:szCs w:val="20"/>
        </w:rPr>
        <w:t>Determine if any training is needed on the bank’s systems</w:t>
      </w:r>
      <w:r w:rsidR="00D62640">
        <w:rPr>
          <w:sz w:val="20"/>
          <w:szCs w:val="20"/>
        </w:rPr>
        <w:t>;</w:t>
      </w:r>
    </w:p>
    <w:p w14:paraId="7C6917FC" w14:textId="77777777" w:rsidR="00D970C3" w:rsidRPr="00D970C3" w:rsidRDefault="00D970C3" w:rsidP="001777FA">
      <w:pPr>
        <w:pStyle w:val="ListParagraph"/>
        <w:numPr>
          <w:ilvl w:val="0"/>
          <w:numId w:val="55"/>
        </w:numPr>
        <w:rPr>
          <w:sz w:val="20"/>
          <w:szCs w:val="20"/>
        </w:rPr>
      </w:pPr>
      <w:r w:rsidRPr="00D970C3">
        <w:rPr>
          <w:sz w:val="20"/>
          <w:szCs w:val="20"/>
        </w:rPr>
        <w:t>Discuss fraud protection and consider ways that transactions can be processed more securely; and</w:t>
      </w:r>
      <w:r w:rsidR="00422E10">
        <w:rPr>
          <w:sz w:val="20"/>
          <w:szCs w:val="20"/>
        </w:rPr>
        <w:t>,</w:t>
      </w:r>
    </w:p>
    <w:p w14:paraId="66CA2544" w14:textId="77777777" w:rsidR="00D970C3" w:rsidRPr="00D970C3" w:rsidRDefault="00D970C3" w:rsidP="001777FA">
      <w:pPr>
        <w:pStyle w:val="ListParagraph"/>
        <w:numPr>
          <w:ilvl w:val="0"/>
          <w:numId w:val="55"/>
        </w:numPr>
        <w:rPr>
          <w:sz w:val="20"/>
          <w:szCs w:val="20"/>
        </w:rPr>
      </w:pPr>
      <w:r w:rsidRPr="00D970C3">
        <w:rPr>
          <w:sz w:val="20"/>
          <w:szCs w:val="20"/>
        </w:rPr>
        <w:t>Review the financial condition of the bank and any recent changes.</w:t>
      </w:r>
    </w:p>
    <w:p w14:paraId="74049251" w14:textId="77777777" w:rsidR="00D970C3" w:rsidRPr="00D970C3" w:rsidRDefault="00D970C3" w:rsidP="00D970C3">
      <w:pPr>
        <w:ind w:left="720"/>
        <w:rPr>
          <w:b/>
          <w:sz w:val="20"/>
          <w:szCs w:val="20"/>
        </w:rPr>
      </w:pPr>
    </w:p>
    <w:p w14:paraId="6E6E2DDA" w14:textId="77777777" w:rsidR="00D970C3" w:rsidRPr="00D970C3" w:rsidRDefault="00D970C3" w:rsidP="00D970C3">
      <w:pPr>
        <w:ind w:left="720"/>
        <w:rPr>
          <w:sz w:val="20"/>
          <w:szCs w:val="20"/>
        </w:rPr>
      </w:pPr>
      <w:r w:rsidRPr="00D970C3">
        <w:rPr>
          <w:sz w:val="20"/>
          <w:szCs w:val="20"/>
        </w:rPr>
        <w:t>Required services include:</w:t>
      </w:r>
    </w:p>
    <w:p w14:paraId="13E1EAED" w14:textId="77777777" w:rsidR="00D970C3" w:rsidRPr="00D970C3" w:rsidRDefault="00D970C3" w:rsidP="001777FA">
      <w:pPr>
        <w:pStyle w:val="ListParagraph"/>
        <w:numPr>
          <w:ilvl w:val="0"/>
          <w:numId w:val="54"/>
        </w:numPr>
        <w:ind w:left="1440"/>
        <w:rPr>
          <w:sz w:val="20"/>
          <w:szCs w:val="20"/>
        </w:rPr>
      </w:pPr>
      <w:r w:rsidRPr="00D970C3">
        <w:rPr>
          <w:sz w:val="20"/>
          <w:szCs w:val="20"/>
        </w:rPr>
        <w:t>Provide a relationship management team with government experience; and</w:t>
      </w:r>
      <w:r w:rsidR="00422E10">
        <w:rPr>
          <w:sz w:val="20"/>
          <w:szCs w:val="20"/>
        </w:rPr>
        <w:t>,</w:t>
      </w:r>
    </w:p>
    <w:p w14:paraId="5CFE3AC5" w14:textId="77777777" w:rsidR="00D970C3" w:rsidRPr="00D970C3" w:rsidRDefault="001A5057" w:rsidP="001777FA">
      <w:pPr>
        <w:pStyle w:val="ListParagraph"/>
        <w:numPr>
          <w:ilvl w:val="0"/>
          <w:numId w:val="54"/>
        </w:numPr>
        <w:ind w:left="1440"/>
        <w:rPr>
          <w:sz w:val="20"/>
          <w:szCs w:val="20"/>
        </w:rPr>
      </w:pPr>
      <w:r>
        <w:rPr>
          <w:sz w:val="20"/>
          <w:szCs w:val="20"/>
        </w:rPr>
        <w:t xml:space="preserve">Annual </w:t>
      </w:r>
      <w:r w:rsidR="00D970C3" w:rsidRPr="00D970C3">
        <w:rPr>
          <w:sz w:val="20"/>
          <w:szCs w:val="20"/>
        </w:rPr>
        <w:t>meetings with the State to review the items listed above.</w:t>
      </w:r>
    </w:p>
    <w:p w14:paraId="20218C02" w14:textId="77777777" w:rsidR="00D970C3" w:rsidRPr="00D970C3" w:rsidRDefault="00D970C3" w:rsidP="00D970C3">
      <w:pPr>
        <w:ind w:left="720"/>
        <w:rPr>
          <w:b/>
          <w:sz w:val="20"/>
          <w:szCs w:val="20"/>
        </w:rPr>
      </w:pPr>
    </w:p>
    <w:p w14:paraId="4204E68B" w14:textId="77777777" w:rsidR="00B50249" w:rsidRPr="00844BA2" w:rsidRDefault="00D970C3" w:rsidP="00844BA2">
      <w:pPr>
        <w:pStyle w:val="ListParagraph"/>
        <w:numPr>
          <w:ilvl w:val="0"/>
          <w:numId w:val="47"/>
        </w:numPr>
        <w:rPr>
          <w:b/>
          <w:sz w:val="20"/>
          <w:szCs w:val="20"/>
        </w:rPr>
      </w:pPr>
      <w:r w:rsidRPr="00D970C3">
        <w:rPr>
          <w:b/>
          <w:sz w:val="20"/>
          <w:szCs w:val="20"/>
        </w:rPr>
        <w:t xml:space="preserve">Deposit </w:t>
      </w:r>
      <w:r w:rsidRPr="005B2BB4">
        <w:rPr>
          <w:b/>
          <w:sz w:val="20"/>
          <w:szCs w:val="20"/>
        </w:rPr>
        <w:t>Services:</w:t>
      </w:r>
      <w:r w:rsidRPr="00844BA2">
        <w:rPr>
          <w:b/>
          <w:sz w:val="20"/>
          <w:szCs w:val="20"/>
        </w:rPr>
        <w:t xml:space="preserve"> </w:t>
      </w:r>
      <w:r w:rsidR="00B50249" w:rsidRPr="00460E7A">
        <w:rPr>
          <w:sz w:val="20"/>
          <w:szCs w:val="20"/>
        </w:rPr>
        <w:t xml:space="preserve">State agencies deposit approximately </w:t>
      </w:r>
      <w:r w:rsidR="007513C7">
        <w:rPr>
          <w:sz w:val="20"/>
          <w:szCs w:val="20"/>
        </w:rPr>
        <w:t>27,100</w:t>
      </w:r>
      <w:r w:rsidR="00B50249" w:rsidRPr="00460E7A">
        <w:rPr>
          <w:sz w:val="20"/>
          <w:szCs w:val="20"/>
        </w:rPr>
        <w:t xml:space="preserve"> checks and </w:t>
      </w:r>
      <w:r w:rsidR="005B2BB4" w:rsidRPr="00460E7A">
        <w:rPr>
          <w:sz w:val="20"/>
          <w:szCs w:val="20"/>
        </w:rPr>
        <w:t xml:space="preserve">approximately </w:t>
      </w:r>
      <w:r w:rsidR="00B50249" w:rsidRPr="00460E7A">
        <w:rPr>
          <w:sz w:val="20"/>
          <w:szCs w:val="20"/>
        </w:rPr>
        <w:t>$</w:t>
      </w:r>
      <w:r w:rsidR="007513C7">
        <w:rPr>
          <w:sz w:val="20"/>
          <w:szCs w:val="20"/>
        </w:rPr>
        <w:t>2,037,000</w:t>
      </w:r>
      <w:r w:rsidR="00B50249" w:rsidRPr="00460E7A">
        <w:rPr>
          <w:sz w:val="20"/>
          <w:szCs w:val="20"/>
        </w:rPr>
        <w:t xml:space="preserve"> at the branch per month. The selected Firms </w:t>
      </w:r>
      <w:proofErr w:type="gramStart"/>
      <w:r w:rsidR="00B50249" w:rsidRPr="00460E7A">
        <w:rPr>
          <w:sz w:val="20"/>
          <w:szCs w:val="20"/>
        </w:rPr>
        <w:t>will be expected</w:t>
      </w:r>
      <w:proofErr w:type="gramEnd"/>
      <w:r w:rsidR="00B50249" w:rsidRPr="00460E7A">
        <w:rPr>
          <w:sz w:val="20"/>
          <w:szCs w:val="20"/>
        </w:rPr>
        <w:t xml:space="preserve"> to handle multiple State agencies’ cash and currency needs. State agencies may use a courier service to bring deposits to the branch.</w:t>
      </w:r>
      <w:r w:rsidR="00B50249" w:rsidRPr="00844BA2">
        <w:rPr>
          <w:b/>
          <w:sz w:val="20"/>
          <w:szCs w:val="20"/>
        </w:rPr>
        <w:t xml:space="preserve">  </w:t>
      </w:r>
    </w:p>
    <w:p w14:paraId="510D36B7" w14:textId="77777777" w:rsidR="00D970C3" w:rsidRPr="00D970C3" w:rsidRDefault="00D970C3" w:rsidP="00844BA2">
      <w:pPr>
        <w:pStyle w:val="ListParagraph"/>
        <w:rPr>
          <w:b/>
          <w:color w:val="FF0000"/>
          <w:sz w:val="20"/>
          <w:szCs w:val="20"/>
        </w:rPr>
      </w:pPr>
    </w:p>
    <w:p w14:paraId="02F8EA9E" w14:textId="77777777" w:rsidR="00D970C3" w:rsidRPr="00D970C3" w:rsidRDefault="00D664D7" w:rsidP="00D970C3">
      <w:pPr>
        <w:pStyle w:val="ScopeofServices"/>
        <w:rPr>
          <w:color w:val="auto"/>
        </w:rPr>
      </w:pPr>
      <w:r>
        <w:rPr>
          <w:color w:val="auto"/>
        </w:rPr>
        <w:t>Required services include:</w:t>
      </w:r>
    </w:p>
    <w:p w14:paraId="224D649A" w14:textId="77777777" w:rsidR="00D970C3" w:rsidRPr="00D970C3" w:rsidRDefault="003A56EF" w:rsidP="00D970C3">
      <w:pPr>
        <w:pStyle w:val="ScopeofServices"/>
        <w:rPr>
          <w:color w:val="auto"/>
        </w:rPr>
      </w:pPr>
      <w:r>
        <w:rPr>
          <w:color w:val="auto"/>
        </w:rPr>
        <w:t xml:space="preserve"> </w:t>
      </w:r>
    </w:p>
    <w:p w14:paraId="0E191A14" w14:textId="77777777" w:rsidR="00B50249" w:rsidRPr="005B2BB4" w:rsidRDefault="00D970C3" w:rsidP="003A56EF">
      <w:pPr>
        <w:pStyle w:val="ScopeofServices"/>
        <w:numPr>
          <w:ilvl w:val="0"/>
          <w:numId w:val="49"/>
        </w:numPr>
        <w:rPr>
          <w:color w:val="auto"/>
        </w:rPr>
      </w:pPr>
      <w:r w:rsidRPr="00D970C3">
        <w:rPr>
          <w:color w:val="auto"/>
        </w:rPr>
        <w:t>Process the deposit of</w:t>
      </w:r>
      <w:r w:rsidR="005B2BB4">
        <w:rPr>
          <w:color w:val="auto"/>
        </w:rPr>
        <w:t xml:space="preserve"> </w:t>
      </w:r>
      <w:r w:rsidR="003A56EF">
        <w:rPr>
          <w:color w:val="auto"/>
        </w:rPr>
        <w:t>coin, currency and check at the Firm’s branch network;</w:t>
      </w:r>
    </w:p>
    <w:p w14:paraId="740A293C" w14:textId="77777777" w:rsidR="00D970C3" w:rsidRPr="005B2BB4" w:rsidRDefault="00B50249" w:rsidP="001777FA">
      <w:pPr>
        <w:pStyle w:val="ScopeofServices"/>
        <w:numPr>
          <w:ilvl w:val="0"/>
          <w:numId w:val="49"/>
        </w:numPr>
        <w:rPr>
          <w:color w:val="auto"/>
        </w:rPr>
      </w:pPr>
      <w:r w:rsidRPr="005B2BB4">
        <w:rPr>
          <w:color w:val="auto"/>
        </w:rPr>
        <w:t xml:space="preserve">Fulfill orders for currency and coin; </w:t>
      </w:r>
      <w:r w:rsidR="003A56EF">
        <w:rPr>
          <w:color w:val="auto"/>
        </w:rPr>
        <w:t>and</w:t>
      </w:r>
      <w:r w:rsidR="00D62640" w:rsidRPr="005B2BB4">
        <w:rPr>
          <w:color w:val="auto"/>
        </w:rPr>
        <w:t xml:space="preserve"> </w:t>
      </w:r>
    </w:p>
    <w:p w14:paraId="44DCD6F0" w14:textId="77777777" w:rsidR="00D970C3" w:rsidRPr="00D970C3" w:rsidRDefault="00D970C3" w:rsidP="001777FA">
      <w:pPr>
        <w:pStyle w:val="ScopeofServices"/>
        <w:numPr>
          <w:ilvl w:val="0"/>
          <w:numId w:val="49"/>
        </w:numPr>
        <w:rPr>
          <w:color w:val="auto"/>
        </w:rPr>
      </w:pPr>
      <w:r w:rsidRPr="00D970C3">
        <w:rPr>
          <w:color w:val="auto"/>
        </w:rPr>
        <w:t>Provide deposit reconciliation services</w:t>
      </w:r>
      <w:r w:rsidR="003A56EF">
        <w:rPr>
          <w:color w:val="auto"/>
        </w:rPr>
        <w:t>.</w:t>
      </w:r>
    </w:p>
    <w:p w14:paraId="672E7DA4" w14:textId="77777777" w:rsidR="00D970C3" w:rsidRPr="00D970C3" w:rsidRDefault="00D970C3" w:rsidP="00D970C3">
      <w:pPr>
        <w:rPr>
          <w:color w:val="FF0000"/>
          <w:sz w:val="20"/>
          <w:szCs w:val="20"/>
        </w:rPr>
      </w:pPr>
    </w:p>
    <w:p w14:paraId="7D96EF37" w14:textId="77777777" w:rsidR="00D970C3" w:rsidRPr="00B40ACE" w:rsidRDefault="00D970C3" w:rsidP="00B40ACE">
      <w:pPr>
        <w:pStyle w:val="ListParagraph"/>
        <w:numPr>
          <w:ilvl w:val="0"/>
          <w:numId w:val="47"/>
        </w:numPr>
        <w:rPr>
          <w:sz w:val="20"/>
          <w:szCs w:val="20"/>
        </w:rPr>
      </w:pPr>
      <w:r w:rsidRPr="00D970C3">
        <w:rPr>
          <w:b/>
          <w:sz w:val="20"/>
          <w:szCs w:val="20"/>
        </w:rPr>
        <w:t>Check Disbursement Services</w:t>
      </w:r>
      <w:r w:rsidR="00460E7A">
        <w:rPr>
          <w:b/>
          <w:sz w:val="20"/>
          <w:szCs w:val="20"/>
        </w:rPr>
        <w:t xml:space="preserve">: </w:t>
      </w:r>
      <w:r w:rsidR="00A175F7" w:rsidRPr="00B40ACE">
        <w:rPr>
          <w:sz w:val="20"/>
          <w:szCs w:val="20"/>
        </w:rPr>
        <w:t>State a</w:t>
      </w:r>
      <w:r w:rsidRPr="00B40ACE">
        <w:rPr>
          <w:sz w:val="20"/>
          <w:szCs w:val="20"/>
        </w:rPr>
        <w:t>g</w:t>
      </w:r>
      <w:r w:rsidR="00A30702" w:rsidRPr="00B40ACE">
        <w:rPr>
          <w:sz w:val="20"/>
          <w:szCs w:val="20"/>
        </w:rPr>
        <w:t xml:space="preserve">encies disburse an </w:t>
      </w:r>
      <w:r w:rsidR="00162599" w:rsidRPr="00B40ACE">
        <w:rPr>
          <w:sz w:val="20"/>
          <w:szCs w:val="20"/>
        </w:rPr>
        <w:t xml:space="preserve">approximate </w:t>
      </w:r>
      <w:r w:rsidR="005B2BB4" w:rsidRPr="00B40ACE">
        <w:rPr>
          <w:sz w:val="20"/>
          <w:szCs w:val="20"/>
        </w:rPr>
        <w:t>9,500</w:t>
      </w:r>
      <w:r w:rsidRPr="00B40ACE">
        <w:rPr>
          <w:sz w:val="20"/>
          <w:szCs w:val="20"/>
        </w:rPr>
        <w:t xml:space="preserve"> checks </w:t>
      </w:r>
      <w:r w:rsidR="005B2BB4" w:rsidRPr="00B40ACE">
        <w:rPr>
          <w:sz w:val="20"/>
          <w:szCs w:val="20"/>
        </w:rPr>
        <w:t xml:space="preserve">per month </w:t>
      </w:r>
      <w:r w:rsidRPr="00B40ACE">
        <w:rPr>
          <w:sz w:val="20"/>
          <w:szCs w:val="20"/>
        </w:rPr>
        <w:t xml:space="preserve">from over </w:t>
      </w:r>
      <w:r w:rsidR="005B2BB4" w:rsidRPr="00B40ACE">
        <w:rPr>
          <w:sz w:val="20"/>
          <w:szCs w:val="20"/>
        </w:rPr>
        <w:t>130</w:t>
      </w:r>
      <w:r w:rsidRPr="00B40ACE">
        <w:rPr>
          <w:sz w:val="20"/>
          <w:szCs w:val="20"/>
        </w:rPr>
        <w:t xml:space="preserve"> accounts. </w:t>
      </w:r>
    </w:p>
    <w:p w14:paraId="22640DBD" w14:textId="77777777" w:rsidR="00D970C3" w:rsidRPr="00D970C3" w:rsidRDefault="00D970C3" w:rsidP="00D970C3">
      <w:pPr>
        <w:ind w:left="720"/>
        <w:rPr>
          <w:sz w:val="20"/>
          <w:szCs w:val="20"/>
        </w:rPr>
      </w:pPr>
    </w:p>
    <w:p w14:paraId="736FCFC4" w14:textId="77777777" w:rsidR="00D970C3" w:rsidRPr="00D970C3" w:rsidRDefault="00D970C3" w:rsidP="00D970C3">
      <w:pPr>
        <w:pStyle w:val="ScopeofServices"/>
        <w:rPr>
          <w:color w:val="auto"/>
        </w:rPr>
      </w:pPr>
      <w:r w:rsidRPr="00D970C3">
        <w:rPr>
          <w:color w:val="auto"/>
        </w:rPr>
        <w:t>Required services include:</w:t>
      </w:r>
    </w:p>
    <w:p w14:paraId="238296AE" w14:textId="77777777" w:rsidR="00D970C3" w:rsidRPr="00D970C3" w:rsidRDefault="00D970C3" w:rsidP="006946CA">
      <w:pPr>
        <w:pStyle w:val="ScopeofServices"/>
        <w:numPr>
          <w:ilvl w:val="0"/>
          <w:numId w:val="50"/>
        </w:numPr>
        <w:rPr>
          <w:color w:val="auto"/>
        </w:rPr>
      </w:pPr>
      <w:r w:rsidRPr="00D970C3">
        <w:rPr>
          <w:color w:val="auto"/>
        </w:rPr>
        <w:t xml:space="preserve">Provide </w:t>
      </w:r>
      <w:r w:rsidR="006946CA">
        <w:rPr>
          <w:color w:val="auto"/>
        </w:rPr>
        <w:t>basic check writing services</w:t>
      </w:r>
      <w:r w:rsidR="003716FD">
        <w:rPr>
          <w:color w:val="auto"/>
        </w:rPr>
        <w:t xml:space="preserve">; </w:t>
      </w:r>
    </w:p>
    <w:p w14:paraId="63DB4A14" w14:textId="77777777" w:rsidR="00D970C3" w:rsidRPr="00D970C3" w:rsidRDefault="00D970C3" w:rsidP="00D970C3">
      <w:pPr>
        <w:tabs>
          <w:tab w:val="left" w:pos="756"/>
        </w:tabs>
        <w:rPr>
          <w:color w:val="FF0000"/>
          <w:sz w:val="20"/>
          <w:szCs w:val="20"/>
        </w:rPr>
      </w:pPr>
      <w:r w:rsidRPr="00D970C3">
        <w:rPr>
          <w:color w:val="FF0000"/>
          <w:sz w:val="20"/>
          <w:szCs w:val="20"/>
        </w:rPr>
        <w:tab/>
      </w:r>
    </w:p>
    <w:p w14:paraId="6EB5DC4C" w14:textId="77777777" w:rsidR="0013074F" w:rsidRPr="00B40ACE" w:rsidRDefault="0013074F" w:rsidP="00B40ACE">
      <w:pPr>
        <w:pStyle w:val="ListParagraph"/>
        <w:numPr>
          <w:ilvl w:val="0"/>
          <w:numId w:val="47"/>
        </w:numPr>
        <w:rPr>
          <w:sz w:val="20"/>
          <w:szCs w:val="20"/>
        </w:rPr>
      </w:pPr>
      <w:r w:rsidRPr="0013074F">
        <w:rPr>
          <w:b/>
          <w:sz w:val="20"/>
          <w:szCs w:val="20"/>
        </w:rPr>
        <w:t>Reporting:</w:t>
      </w:r>
      <w:r>
        <w:rPr>
          <w:sz w:val="20"/>
          <w:szCs w:val="20"/>
        </w:rPr>
        <w:t xml:space="preserve"> </w:t>
      </w:r>
      <w:r w:rsidRPr="00B40ACE">
        <w:rPr>
          <w:sz w:val="20"/>
          <w:szCs w:val="20"/>
        </w:rPr>
        <w:t xml:space="preserve">The </w:t>
      </w:r>
      <w:r w:rsidR="005C1400" w:rsidRPr="00B40ACE">
        <w:rPr>
          <w:sz w:val="20"/>
          <w:szCs w:val="20"/>
        </w:rPr>
        <w:t xml:space="preserve">State agencies </w:t>
      </w:r>
      <w:r w:rsidRPr="00B40ACE">
        <w:rPr>
          <w:sz w:val="20"/>
          <w:szCs w:val="20"/>
        </w:rPr>
        <w:t xml:space="preserve">require access to daily reports of balances and transaction information, including prior day reporting of ledger balance, available balance, and summary and details of credits/debits posted. </w:t>
      </w:r>
    </w:p>
    <w:p w14:paraId="51D13330" w14:textId="77777777" w:rsidR="0013074F" w:rsidRDefault="0013074F" w:rsidP="0013074F">
      <w:pPr>
        <w:pStyle w:val="ListParagraph"/>
        <w:rPr>
          <w:sz w:val="20"/>
          <w:szCs w:val="20"/>
        </w:rPr>
      </w:pPr>
    </w:p>
    <w:p w14:paraId="61A5A1B6" w14:textId="77777777" w:rsidR="00B13EE2" w:rsidRDefault="00C85E19" w:rsidP="00B13EE2">
      <w:pPr>
        <w:ind w:left="720"/>
        <w:rPr>
          <w:sz w:val="20"/>
          <w:szCs w:val="20"/>
        </w:rPr>
      </w:pPr>
      <w:r>
        <w:rPr>
          <w:sz w:val="20"/>
          <w:szCs w:val="20"/>
        </w:rPr>
        <w:t>Select e</w:t>
      </w:r>
      <w:r w:rsidR="00B13EE2" w:rsidRPr="00D970C3">
        <w:rPr>
          <w:sz w:val="20"/>
          <w:szCs w:val="20"/>
        </w:rPr>
        <w:t xml:space="preserve">mployees require online access to the </w:t>
      </w:r>
      <w:proofErr w:type="gramStart"/>
      <w:r w:rsidR="00B13EE2" w:rsidRPr="00D970C3">
        <w:rPr>
          <w:sz w:val="20"/>
          <w:szCs w:val="20"/>
        </w:rPr>
        <w:t>bank’s</w:t>
      </w:r>
      <w:proofErr w:type="gramEnd"/>
      <w:r w:rsidR="00B13EE2" w:rsidRPr="00D970C3">
        <w:rPr>
          <w:sz w:val="20"/>
          <w:szCs w:val="20"/>
        </w:rPr>
        <w:t xml:space="preserve"> online reporting platform. </w:t>
      </w:r>
      <w:proofErr w:type="gramStart"/>
      <w:r>
        <w:rPr>
          <w:sz w:val="20"/>
          <w:szCs w:val="20"/>
        </w:rPr>
        <w:t>A small portion of these users are</w:t>
      </w:r>
      <w:proofErr w:type="gramEnd"/>
      <w:r w:rsidR="00B13EE2" w:rsidRPr="00D970C3">
        <w:rPr>
          <w:sz w:val="20"/>
          <w:szCs w:val="20"/>
        </w:rPr>
        <w:t xml:space="preserve"> administrators and the balance of the users require different hierarchies of access. </w:t>
      </w:r>
    </w:p>
    <w:p w14:paraId="2A39A4D3" w14:textId="77777777" w:rsidR="00AF1CD9" w:rsidRDefault="00AF1CD9" w:rsidP="00B13EE2">
      <w:pPr>
        <w:ind w:left="720"/>
        <w:rPr>
          <w:sz w:val="20"/>
          <w:szCs w:val="20"/>
        </w:rPr>
      </w:pPr>
    </w:p>
    <w:p w14:paraId="0075071A" w14:textId="77777777" w:rsidR="00B13EE2" w:rsidRPr="00D970C3" w:rsidRDefault="00B13EE2" w:rsidP="00B13EE2">
      <w:pPr>
        <w:ind w:left="720"/>
        <w:rPr>
          <w:sz w:val="20"/>
          <w:szCs w:val="20"/>
        </w:rPr>
      </w:pPr>
      <w:r w:rsidRPr="00D970C3">
        <w:rPr>
          <w:sz w:val="20"/>
          <w:szCs w:val="20"/>
        </w:rPr>
        <w:t>Security of the State’s financial information and proper controls are of the highest importance to the OST. The State is seeking a bank with an extensive user reporting feature in order for the OST to easily identify who has access to the bank’s online platform, what accounts they have access to, and what entitlements they have (e.g. wire transfers, approvals, internal book transfers, etc.).</w:t>
      </w:r>
    </w:p>
    <w:p w14:paraId="249E18C2" w14:textId="77777777" w:rsidR="00B13EE2" w:rsidRPr="00D970C3" w:rsidRDefault="00B13EE2" w:rsidP="00B13EE2">
      <w:pPr>
        <w:ind w:left="720"/>
        <w:rPr>
          <w:sz w:val="20"/>
          <w:szCs w:val="20"/>
        </w:rPr>
      </w:pPr>
    </w:p>
    <w:p w14:paraId="602899AD" w14:textId="77777777" w:rsidR="00B13EE2" w:rsidRDefault="00B13EE2" w:rsidP="00B13EE2">
      <w:pPr>
        <w:ind w:left="720"/>
        <w:rPr>
          <w:sz w:val="20"/>
          <w:szCs w:val="20"/>
        </w:rPr>
      </w:pPr>
      <w:r w:rsidRPr="00D970C3">
        <w:rPr>
          <w:sz w:val="20"/>
          <w:szCs w:val="20"/>
        </w:rPr>
        <w:t>The State would require an online system that can support a multi-level hierarchy. This hierarchy would allow the OST to control entitlements and access for all OST users, and allow the OST to delegate this control to sub-a</w:t>
      </w:r>
      <w:r w:rsidR="00A175F7">
        <w:rPr>
          <w:sz w:val="20"/>
          <w:szCs w:val="20"/>
        </w:rPr>
        <w:t>dministrators at the different a</w:t>
      </w:r>
      <w:r w:rsidRPr="00D970C3">
        <w:rPr>
          <w:sz w:val="20"/>
          <w:szCs w:val="20"/>
        </w:rPr>
        <w:t>gencies. The agency sub-administrators would have the ability to maintain the users an</w:t>
      </w:r>
      <w:r w:rsidR="00072668">
        <w:rPr>
          <w:sz w:val="20"/>
          <w:szCs w:val="20"/>
        </w:rPr>
        <w:t>d their entitlements for their a</w:t>
      </w:r>
      <w:r w:rsidRPr="00D970C3">
        <w:rPr>
          <w:sz w:val="20"/>
          <w:szCs w:val="20"/>
        </w:rPr>
        <w:t>gency only.</w:t>
      </w:r>
    </w:p>
    <w:p w14:paraId="109C66F7" w14:textId="77777777" w:rsidR="008024E9" w:rsidRDefault="008024E9" w:rsidP="00B13EE2">
      <w:pPr>
        <w:ind w:left="720"/>
        <w:rPr>
          <w:sz w:val="20"/>
          <w:szCs w:val="20"/>
        </w:rPr>
      </w:pPr>
    </w:p>
    <w:p w14:paraId="5B26DD1B" w14:textId="77777777" w:rsidR="008024E9" w:rsidRPr="00D970C3" w:rsidRDefault="008024E9" w:rsidP="00B13EE2">
      <w:pPr>
        <w:ind w:left="720"/>
        <w:rPr>
          <w:sz w:val="20"/>
          <w:szCs w:val="20"/>
        </w:rPr>
      </w:pPr>
      <w:r w:rsidRPr="00137C7B">
        <w:rPr>
          <w:sz w:val="20"/>
          <w:szCs w:val="20"/>
        </w:rPr>
        <w:t>The State is interest</w:t>
      </w:r>
      <w:r w:rsidR="00887D44">
        <w:rPr>
          <w:sz w:val="20"/>
          <w:szCs w:val="20"/>
        </w:rPr>
        <w:t>ed</w:t>
      </w:r>
      <w:r w:rsidRPr="00137C7B">
        <w:rPr>
          <w:sz w:val="20"/>
          <w:szCs w:val="20"/>
        </w:rPr>
        <w:t xml:space="preserve"> i</w:t>
      </w:r>
      <w:r w:rsidR="00887D44">
        <w:rPr>
          <w:sz w:val="20"/>
          <w:szCs w:val="20"/>
        </w:rPr>
        <w:t>n</w:t>
      </w:r>
      <w:r w:rsidRPr="00137C7B">
        <w:rPr>
          <w:sz w:val="20"/>
          <w:szCs w:val="20"/>
        </w:rPr>
        <w:t xml:space="preserve"> utilizing multi-bank reporting through its </w:t>
      </w:r>
      <w:r w:rsidR="009C78F4">
        <w:rPr>
          <w:sz w:val="20"/>
          <w:szCs w:val="20"/>
        </w:rPr>
        <w:t xml:space="preserve">primary </w:t>
      </w:r>
      <w:r w:rsidRPr="00137C7B">
        <w:rPr>
          <w:sz w:val="20"/>
          <w:szCs w:val="20"/>
        </w:rPr>
        <w:t>concentration bank, J</w:t>
      </w:r>
      <w:r w:rsidR="00137C7B" w:rsidRPr="00137C7B">
        <w:rPr>
          <w:sz w:val="20"/>
          <w:szCs w:val="20"/>
        </w:rPr>
        <w:t>.</w:t>
      </w:r>
      <w:r w:rsidRPr="00137C7B">
        <w:rPr>
          <w:sz w:val="20"/>
          <w:szCs w:val="20"/>
        </w:rPr>
        <w:t>P</w:t>
      </w:r>
      <w:r w:rsidR="00137C7B" w:rsidRPr="00137C7B">
        <w:rPr>
          <w:sz w:val="20"/>
          <w:szCs w:val="20"/>
        </w:rPr>
        <w:t>.</w:t>
      </w:r>
      <w:r w:rsidRPr="00137C7B">
        <w:rPr>
          <w:sz w:val="20"/>
          <w:szCs w:val="20"/>
        </w:rPr>
        <w:t xml:space="preserve"> Morgan</w:t>
      </w:r>
      <w:r w:rsidR="009C78F4">
        <w:rPr>
          <w:sz w:val="20"/>
          <w:szCs w:val="20"/>
        </w:rPr>
        <w:t>,</w:t>
      </w:r>
      <w:r w:rsidRPr="00137C7B">
        <w:rPr>
          <w:sz w:val="20"/>
          <w:szCs w:val="20"/>
        </w:rPr>
        <w:t xml:space="preserve"> to view and track balances and transaction information </w:t>
      </w:r>
      <w:r w:rsidR="009C78F4">
        <w:rPr>
          <w:sz w:val="20"/>
          <w:szCs w:val="20"/>
        </w:rPr>
        <w:t xml:space="preserve">across </w:t>
      </w:r>
      <w:r w:rsidRPr="00137C7B">
        <w:rPr>
          <w:sz w:val="20"/>
          <w:szCs w:val="20"/>
        </w:rPr>
        <w:t>the State’s banking partners. In order to do so, the selected banks will need to</w:t>
      </w:r>
      <w:r w:rsidR="00137C7B" w:rsidRPr="00137C7B">
        <w:rPr>
          <w:sz w:val="20"/>
          <w:szCs w:val="20"/>
        </w:rPr>
        <w:t xml:space="preserve"> provide data </w:t>
      </w:r>
      <w:proofErr w:type="gramStart"/>
      <w:r w:rsidR="00137C7B" w:rsidRPr="00137C7B">
        <w:rPr>
          <w:sz w:val="20"/>
          <w:szCs w:val="20"/>
        </w:rPr>
        <w:t>feeds</w:t>
      </w:r>
      <w:proofErr w:type="gramEnd"/>
      <w:r w:rsidR="00137C7B" w:rsidRPr="00137C7B">
        <w:rPr>
          <w:sz w:val="20"/>
          <w:szCs w:val="20"/>
        </w:rPr>
        <w:t xml:space="preserve"> to </w:t>
      </w:r>
      <w:r w:rsidRPr="00137C7B">
        <w:rPr>
          <w:sz w:val="20"/>
          <w:szCs w:val="20"/>
        </w:rPr>
        <w:t>J</w:t>
      </w:r>
      <w:r w:rsidR="00137C7B" w:rsidRPr="00137C7B">
        <w:rPr>
          <w:sz w:val="20"/>
          <w:szCs w:val="20"/>
        </w:rPr>
        <w:t>.</w:t>
      </w:r>
      <w:r w:rsidRPr="00137C7B">
        <w:rPr>
          <w:sz w:val="20"/>
          <w:szCs w:val="20"/>
        </w:rPr>
        <w:t>P</w:t>
      </w:r>
      <w:r w:rsidR="00137C7B" w:rsidRPr="00137C7B">
        <w:rPr>
          <w:sz w:val="20"/>
          <w:szCs w:val="20"/>
        </w:rPr>
        <w:t>.</w:t>
      </w:r>
      <w:r w:rsidRPr="00137C7B">
        <w:rPr>
          <w:sz w:val="20"/>
          <w:szCs w:val="20"/>
        </w:rPr>
        <w:t xml:space="preserve"> Morgan.</w:t>
      </w:r>
      <w:r>
        <w:rPr>
          <w:sz w:val="20"/>
          <w:szCs w:val="20"/>
        </w:rPr>
        <w:t xml:space="preserve"> </w:t>
      </w:r>
    </w:p>
    <w:p w14:paraId="7CFD4AAB" w14:textId="77777777" w:rsidR="00D970C3" w:rsidRPr="00D970C3" w:rsidRDefault="00D970C3" w:rsidP="00D970C3">
      <w:pPr>
        <w:tabs>
          <w:tab w:val="left" w:pos="756"/>
        </w:tabs>
        <w:rPr>
          <w:color w:val="FF0000"/>
          <w:sz w:val="20"/>
          <w:szCs w:val="20"/>
        </w:rPr>
      </w:pPr>
    </w:p>
    <w:p w14:paraId="1C26779C" w14:textId="77777777" w:rsidR="00D970C3" w:rsidRPr="00D970C3" w:rsidRDefault="00D970C3" w:rsidP="00D970C3">
      <w:pPr>
        <w:pStyle w:val="ScopeofServices"/>
        <w:rPr>
          <w:color w:val="auto"/>
        </w:rPr>
      </w:pPr>
      <w:r w:rsidRPr="00D970C3">
        <w:rPr>
          <w:color w:val="auto"/>
        </w:rPr>
        <w:t xml:space="preserve">Required services include:  </w:t>
      </w:r>
    </w:p>
    <w:p w14:paraId="0AC76E52" w14:textId="77777777" w:rsidR="00D970C3" w:rsidRPr="00D970C3" w:rsidRDefault="00D970C3" w:rsidP="00D970C3">
      <w:pPr>
        <w:pStyle w:val="ScopeofServices"/>
        <w:rPr>
          <w:color w:val="auto"/>
        </w:rPr>
      </w:pPr>
    </w:p>
    <w:p w14:paraId="1FE000AE" w14:textId="77777777" w:rsidR="00D970C3" w:rsidRPr="00D970C3" w:rsidRDefault="00D970C3" w:rsidP="001777FA">
      <w:pPr>
        <w:pStyle w:val="ScopeofServices"/>
        <w:numPr>
          <w:ilvl w:val="0"/>
          <w:numId w:val="52"/>
        </w:numPr>
        <w:rPr>
          <w:color w:val="auto"/>
        </w:rPr>
      </w:pPr>
      <w:r w:rsidRPr="00D970C3">
        <w:rPr>
          <w:color w:val="auto"/>
        </w:rPr>
        <w:t>Provide online balance reporting services</w:t>
      </w:r>
      <w:r w:rsidR="00E3624C">
        <w:rPr>
          <w:color w:val="auto"/>
        </w:rPr>
        <w:t>;</w:t>
      </w:r>
      <w:r w:rsidRPr="00D970C3">
        <w:rPr>
          <w:color w:val="auto"/>
        </w:rPr>
        <w:t xml:space="preserve"> </w:t>
      </w:r>
    </w:p>
    <w:p w14:paraId="6F86D239" w14:textId="77777777" w:rsidR="00D970C3" w:rsidRPr="00D970C3" w:rsidRDefault="00D970C3" w:rsidP="001777FA">
      <w:pPr>
        <w:pStyle w:val="ScopeofServices"/>
        <w:numPr>
          <w:ilvl w:val="0"/>
          <w:numId w:val="52"/>
        </w:numPr>
        <w:rPr>
          <w:color w:val="auto"/>
        </w:rPr>
      </w:pPr>
      <w:r w:rsidRPr="00D970C3">
        <w:rPr>
          <w:color w:val="auto"/>
        </w:rPr>
        <w:t xml:space="preserve">Allow </w:t>
      </w:r>
      <w:r w:rsidR="009349B2">
        <w:rPr>
          <w:color w:val="auto"/>
        </w:rPr>
        <w:t xml:space="preserve">State </w:t>
      </w:r>
      <w:r w:rsidRPr="00D970C3">
        <w:rPr>
          <w:color w:val="auto"/>
        </w:rPr>
        <w:t>employees with different levels of authorization to access the bank’s online reporting system</w:t>
      </w:r>
      <w:r w:rsidR="00E3624C">
        <w:rPr>
          <w:color w:val="auto"/>
        </w:rPr>
        <w:t>;</w:t>
      </w:r>
    </w:p>
    <w:p w14:paraId="223BCBB2" w14:textId="77777777" w:rsidR="00D970C3" w:rsidRPr="00D970C3" w:rsidRDefault="00D970C3" w:rsidP="001777FA">
      <w:pPr>
        <w:pStyle w:val="ScopeofServices"/>
        <w:numPr>
          <w:ilvl w:val="0"/>
          <w:numId w:val="52"/>
        </w:numPr>
        <w:rPr>
          <w:color w:val="auto"/>
        </w:rPr>
      </w:pPr>
      <w:r w:rsidRPr="00D970C3">
        <w:rPr>
          <w:color w:val="auto"/>
        </w:rPr>
        <w:t>If needed, provide multi-hierarchy administration</w:t>
      </w:r>
      <w:r w:rsidR="00E3624C">
        <w:rPr>
          <w:color w:val="auto"/>
        </w:rPr>
        <w:t>;</w:t>
      </w:r>
    </w:p>
    <w:p w14:paraId="6B023039" w14:textId="77777777" w:rsidR="00D970C3" w:rsidRDefault="00D970C3" w:rsidP="001777FA">
      <w:pPr>
        <w:pStyle w:val="ScopeofServices"/>
        <w:numPr>
          <w:ilvl w:val="0"/>
          <w:numId w:val="52"/>
        </w:numPr>
        <w:rPr>
          <w:color w:val="auto"/>
        </w:rPr>
      </w:pPr>
      <w:r w:rsidRPr="00D970C3">
        <w:rPr>
          <w:color w:val="auto"/>
        </w:rPr>
        <w:t>Provide prior day reporting</w:t>
      </w:r>
      <w:r w:rsidR="00E3624C">
        <w:rPr>
          <w:color w:val="auto"/>
        </w:rPr>
        <w:t>;</w:t>
      </w:r>
    </w:p>
    <w:p w14:paraId="4E00DC43" w14:textId="77777777" w:rsidR="008024E9" w:rsidRPr="00D970C3" w:rsidRDefault="00137C7B" w:rsidP="001777FA">
      <w:pPr>
        <w:pStyle w:val="ScopeofServices"/>
        <w:numPr>
          <w:ilvl w:val="0"/>
          <w:numId w:val="52"/>
        </w:numPr>
        <w:rPr>
          <w:color w:val="auto"/>
        </w:rPr>
      </w:pPr>
      <w:r>
        <w:rPr>
          <w:color w:val="auto"/>
        </w:rPr>
        <w:t>Provide data fee</w:t>
      </w:r>
      <w:r w:rsidR="00756C3E">
        <w:rPr>
          <w:color w:val="auto"/>
        </w:rPr>
        <w:t>ds</w:t>
      </w:r>
      <w:r>
        <w:rPr>
          <w:color w:val="auto"/>
        </w:rPr>
        <w:t xml:space="preserve"> to J.P. Morgan so the OST can use JPM’s multi-bank reporting functionality</w:t>
      </w:r>
      <w:r w:rsidR="008024E9">
        <w:rPr>
          <w:color w:val="auto"/>
        </w:rPr>
        <w:t xml:space="preserve">; </w:t>
      </w:r>
    </w:p>
    <w:p w14:paraId="120EE35D" w14:textId="77777777" w:rsidR="00D970C3" w:rsidRPr="00D970C3" w:rsidRDefault="00D970C3" w:rsidP="001777FA">
      <w:pPr>
        <w:pStyle w:val="ScopeofServices"/>
        <w:numPr>
          <w:ilvl w:val="0"/>
          <w:numId w:val="52"/>
        </w:numPr>
        <w:rPr>
          <w:color w:val="auto"/>
        </w:rPr>
      </w:pPr>
      <w:r w:rsidRPr="00D970C3">
        <w:rPr>
          <w:color w:val="auto"/>
        </w:rPr>
        <w:t>Provide full account reconciliation services for disbursements and deposits</w:t>
      </w:r>
      <w:r w:rsidR="00E3624C">
        <w:rPr>
          <w:color w:val="auto"/>
        </w:rPr>
        <w:t>;</w:t>
      </w:r>
    </w:p>
    <w:p w14:paraId="60352546" w14:textId="77777777" w:rsidR="00D970C3" w:rsidRPr="00D970C3" w:rsidRDefault="00D970C3" w:rsidP="001777FA">
      <w:pPr>
        <w:pStyle w:val="ScopeofServices"/>
        <w:numPr>
          <w:ilvl w:val="0"/>
          <w:numId w:val="52"/>
        </w:numPr>
        <w:rPr>
          <w:color w:val="auto"/>
        </w:rPr>
      </w:pPr>
      <w:r w:rsidRPr="00D970C3">
        <w:rPr>
          <w:color w:val="auto"/>
        </w:rPr>
        <w:t>Provide online monthly activity statements and reports for all accounts</w:t>
      </w:r>
      <w:r w:rsidR="00E3624C">
        <w:rPr>
          <w:color w:val="auto"/>
        </w:rPr>
        <w:t>;</w:t>
      </w:r>
    </w:p>
    <w:p w14:paraId="71E3DB00" w14:textId="77777777" w:rsidR="00D970C3" w:rsidRPr="00D970C3" w:rsidRDefault="00D970C3" w:rsidP="001777FA">
      <w:pPr>
        <w:pStyle w:val="ScopeofServices"/>
        <w:numPr>
          <w:ilvl w:val="0"/>
          <w:numId w:val="52"/>
        </w:numPr>
        <w:rPr>
          <w:color w:val="auto"/>
        </w:rPr>
      </w:pPr>
      <w:r w:rsidRPr="00D970C3">
        <w:rPr>
          <w:color w:val="auto"/>
        </w:rPr>
        <w:t>Provide a detailed monthly account analysis statement for each individual account and a consolidated statement showing charges for all account services</w:t>
      </w:r>
      <w:r w:rsidR="00E3624C">
        <w:rPr>
          <w:color w:val="auto"/>
        </w:rPr>
        <w:t>;</w:t>
      </w:r>
    </w:p>
    <w:p w14:paraId="4D557068" w14:textId="77777777" w:rsidR="00D970C3" w:rsidRPr="003E0ABB" w:rsidRDefault="00D970C3" w:rsidP="001777FA">
      <w:pPr>
        <w:pStyle w:val="ScopeofServices"/>
        <w:numPr>
          <w:ilvl w:val="0"/>
          <w:numId w:val="52"/>
        </w:numPr>
        <w:rPr>
          <w:color w:val="auto"/>
        </w:rPr>
      </w:pPr>
      <w:r w:rsidRPr="003E0ABB">
        <w:rPr>
          <w:color w:val="auto"/>
        </w:rPr>
        <w:t>Provide electronic archival of cleared checks (images of front and back)</w:t>
      </w:r>
      <w:r w:rsidR="00E3624C">
        <w:rPr>
          <w:color w:val="auto"/>
        </w:rPr>
        <w:t>;</w:t>
      </w:r>
      <w:r w:rsidRPr="003E0ABB">
        <w:rPr>
          <w:color w:val="auto"/>
        </w:rPr>
        <w:t xml:space="preserve"> </w:t>
      </w:r>
    </w:p>
    <w:p w14:paraId="61C624B7" w14:textId="77777777" w:rsidR="00D970C3" w:rsidRDefault="00D970C3" w:rsidP="001777FA">
      <w:pPr>
        <w:pStyle w:val="ScopeofServices"/>
        <w:numPr>
          <w:ilvl w:val="0"/>
          <w:numId w:val="52"/>
        </w:numPr>
        <w:rPr>
          <w:color w:val="auto"/>
        </w:rPr>
      </w:pPr>
      <w:r w:rsidRPr="00D970C3">
        <w:rPr>
          <w:color w:val="auto"/>
        </w:rPr>
        <w:t>Provide online access to cashed check images</w:t>
      </w:r>
      <w:r w:rsidR="00E3624C">
        <w:rPr>
          <w:color w:val="auto"/>
        </w:rPr>
        <w:t>;</w:t>
      </w:r>
      <w:r w:rsidR="007048EE">
        <w:rPr>
          <w:color w:val="auto"/>
        </w:rPr>
        <w:t xml:space="preserve"> and</w:t>
      </w:r>
    </w:p>
    <w:p w14:paraId="097B5FA5" w14:textId="77777777" w:rsidR="007048EE" w:rsidRPr="00D970C3" w:rsidRDefault="007048EE" w:rsidP="001777FA">
      <w:pPr>
        <w:pStyle w:val="ScopeofServices"/>
        <w:numPr>
          <w:ilvl w:val="0"/>
          <w:numId w:val="52"/>
        </w:numPr>
        <w:rPr>
          <w:color w:val="auto"/>
        </w:rPr>
      </w:pPr>
      <w:r>
        <w:rPr>
          <w:color w:val="auto"/>
        </w:rPr>
        <w:t xml:space="preserve">Transfer, at no cost to the </w:t>
      </w:r>
      <w:r w:rsidR="005C1400">
        <w:rPr>
          <w:color w:val="auto"/>
        </w:rPr>
        <w:t>State</w:t>
      </w:r>
      <w:r>
        <w:rPr>
          <w:color w:val="auto"/>
        </w:rPr>
        <w:t xml:space="preserve">, all records and information relating to </w:t>
      </w:r>
      <w:r w:rsidR="005C1400">
        <w:rPr>
          <w:color w:val="auto"/>
        </w:rPr>
        <w:t>these services</w:t>
      </w:r>
      <w:r>
        <w:rPr>
          <w:color w:val="auto"/>
        </w:rPr>
        <w:t>, electronically and by hard copy as requested, to a successor bank upon termination or completion of contract.</w:t>
      </w:r>
    </w:p>
    <w:p w14:paraId="5D10E447" w14:textId="77777777" w:rsidR="00D970C3" w:rsidRPr="00D970C3" w:rsidRDefault="00D970C3" w:rsidP="00D970C3">
      <w:pPr>
        <w:rPr>
          <w:color w:val="FF0000"/>
          <w:sz w:val="20"/>
          <w:szCs w:val="20"/>
        </w:rPr>
      </w:pPr>
    </w:p>
    <w:p w14:paraId="6C125F7E" w14:textId="77777777" w:rsidR="00D970C3" w:rsidRPr="00D970C3" w:rsidRDefault="00D970C3" w:rsidP="001777FA">
      <w:pPr>
        <w:pStyle w:val="ListParagraph"/>
        <w:numPr>
          <w:ilvl w:val="0"/>
          <w:numId w:val="47"/>
        </w:numPr>
        <w:rPr>
          <w:b/>
          <w:sz w:val="20"/>
          <w:szCs w:val="20"/>
        </w:rPr>
      </w:pPr>
      <w:r w:rsidRPr="00D970C3">
        <w:rPr>
          <w:b/>
          <w:sz w:val="20"/>
          <w:szCs w:val="20"/>
        </w:rPr>
        <w:t xml:space="preserve">Bank Balances:  </w:t>
      </w:r>
      <w:r w:rsidR="00B50249">
        <w:rPr>
          <w:sz w:val="20"/>
          <w:szCs w:val="20"/>
        </w:rPr>
        <w:t xml:space="preserve">Across all </w:t>
      </w:r>
      <w:r w:rsidR="00756C3E">
        <w:rPr>
          <w:sz w:val="20"/>
          <w:szCs w:val="20"/>
        </w:rPr>
        <w:t xml:space="preserve">State </w:t>
      </w:r>
      <w:r w:rsidR="00B50249">
        <w:rPr>
          <w:sz w:val="20"/>
          <w:szCs w:val="20"/>
        </w:rPr>
        <w:t>agency accounts</w:t>
      </w:r>
      <w:r w:rsidRPr="00D970C3">
        <w:rPr>
          <w:sz w:val="20"/>
          <w:szCs w:val="20"/>
        </w:rPr>
        <w:t xml:space="preserve">, average ledger balances </w:t>
      </w:r>
      <w:r w:rsidR="005B2BB4">
        <w:rPr>
          <w:sz w:val="20"/>
          <w:szCs w:val="20"/>
        </w:rPr>
        <w:t xml:space="preserve">are </w:t>
      </w:r>
      <w:r w:rsidRPr="00D970C3">
        <w:rPr>
          <w:sz w:val="20"/>
          <w:szCs w:val="20"/>
        </w:rPr>
        <w:t>approximately $</w:t>
      </w:r>
      <w:r w:rsidR="005B2BB4">
        <w:rPr>
          <w:sz w:val="20"/>
          <w:szCs w:val="20"/>
        </w:rPr>
        <w:t xml:space="preserve">59.6 </w:t>
      </w:r>
      <w:r w:rsidRPr="00D970C3">
        <w:rPr>
          <w:sz w:val="20"/>
          <w:szCs w:val="20"/>
        </w:rPr>
        <w:t>million</w:t>
      </w:r>
      <w:r w:rsidR="00756C3E">
        <w:rPr>
          <w:sz w:val="20"/>
          <w:szCs w:val="20"/>
        </w:rPr>
        <w:t>.</w:t>
      </w:r>
      <w:r w:rsidRPr="00D970C3">
        <w:rPr>
          <w:sz w:val="20"/>
          <w:szCs w:val="20"/>
        </w:rPr>
        <w:t xml:space="preserve"> </w:t>
      </w:r>
    </w:p>
    <w:p w14:paraId="17E64D9A" w14:textId="77777777" w:rsidR="00D970C3" w:rsidRPr="00D970C3" w:rsidRDefault="00D970C3" w:rsidP="00D970C3">
      <w:pPr>
        <w:ind w:left="720"/>
        <w:rPr>
          <w:b/>
          <w:sz w:val="20"/>
          <w:szCs w:val="20"/>
        </w:rPr>
      </w:pPr>
    </w:p>
    <w:p w14:paraId="793BC4EA" w14:textId="77777777" w:rsidR="00D970C3" w:rsidRPr="002D1A9D" w:rsidRDefault="00D970C3" w:rsidP="00D970C3">
      <w:pPr>
        <w:ind w:left="720"/>
        <w:rPr>
          <w:i/>
          <w:sz w:val="20"/>
          <w:szCs w:val="20"/>
        </w:rPr>
      </w:pPr>
      <w:r w:rsidRPr="00D970C3">
        <w:rPr>
          <w:sz w:val="20"/>
          <w:szCs w:val="20"/>
        </w:rPr>
        <w:t xml:space="preserve">The State requires all collected balances in excess of </w:t>
      </w:r>
      <w:r w:rsidRPr="00DA3F08">
        <w:rPr>
          <w:sz w:val="20"/>
          <w:szCs w:val="20"/>
        </w:rPr>
        <w:t xml:space="preserve">balances insured by the FDIC </w:t>
      </w:r>
      <w:r w:rsidR="00756C3E">
        <w:rPr>
          <w:sz w:val="20"/>
          <w:szCs w:val="20"/>
        </w:rPr>
        <w:t xml:space="preserve">to </w:t>
      </w:r>
      <w:proofErr w:type="gramStart"/>
      <w:r w:rsidRPr="00DA3F08">
        <w:rPr>
          <w:sz w:val="20"/>
          <w:szCs w:val="20"/>
        </w:rPr>
        <w:t>be collateralized</w:t>
      </w:r>
      <w:proofErr w:type="gramEnd"/>
      <w:r w:rsidRPr="00DA3F08">
        <w:rPr>
          <w:sz w:val="20"/>
          <w:szCs w:val="20"/>
        </w:rPr>
        <w:t xml:space="preserve">. Collateralization requirements for State funds </w:t>
      </w:r>
      <w:proofErr w:type="gramStart"/>
      <w:r w:rsidRPr="00DA3F08">
        <w:rPr>
          <w:sz w:val="20"/>
          <w:szCs w:val="20"/>
        </w:rPr>
        <w:t>were established</w:t>
      </w:r>
      <w:proofErr w:type="gramEnd"/>
      <w:r w:rsidRPr="00DA3F08">
        <w:rPr>
          <w:sz w:val="20"/>
          <w:szCs w:val="20"/>
        </w:rPr>
        <w:t xml:space="preserve"> by the Cash Management Policy Board and are included in the Guidelines. This document </w:t>
      </w:r>
      <w:proofErr w:type="gramStart"/>
      <w:r w:rsidRPr="00DA3F08">
        <w:rPr>
          <w:sz w:val="20"/>
          <w:szCs w:val="20"/>
        </w:rPr>
        <w:t>can be found</w:t>
      </w:r>
      <w:proofErr w:type="gramEnd"/>
      <w:r w:rsidRPr="00DA3F08">
        <w:rPr>
          <w:sz w:val="20"/>
          <w:szCs w:val="20"/>
        </w:rPr>
        <w:t xml:space="preserve"> in </w:t>
      </w:r>
      <w:r w:rsidRPr="00D43604">
        <w:rPr>
          <w:b/>
          <w:sz w:val="20"/>
          <w:szCs w:val="20"/>
        </w:rPr>
        <w:t xml:space="preserve">Appendix </w:t>
      </w:r>
      <w:r w:rsidR="00DA3F08" w:rsidRPr="00DA3F08">
        <w:rPr>
          <w:b/>
          <w:sz w:val="20"/>
          <w:szCs w:val="20"/>
        </w:rPr>
        <w:t>B.</w:t>
      </w:r>
      <w:r w:rsidR="002D1A9D">
        <w:rPr>
          <w:sz w:val="20"/>
          <w:szCs w:val="20"/>
        </w:rPr>
        <w:t xml:space="preserve"> </w:t>
      </w:r>
      <w:r w:rsidR="002D1A9D" w:rsidRPr="002D1A9D">
        <w:rPr>
          <w:i/>
          <w:sz w:val="20"/>
          <w:szCs w:val="20"/>
        </w:rPr>
        <w:t xml:space="preserve">(Specific requirements for Collection and Disbursement Accounts can be found in Section 5.0 of Appendix </w:t>
      </w:r>
      <w:r w:rsidR="00D43604">
        <w:rPr>
          <w:i/>
          <w:sz w:val="20"/>
          <w:szCs w:val="20"/>
        </w:rPr>
        <w:t>B</w:t>
      </w:r>
      <w:r w:rsidR="002D1A9D" w:rsidRPr="002D1A9D">
        <w:rPr>
          <w:i/>
          <w:sz w:val="20"/>
          <w:szCs w:val="20"/>
        </w:rPr>
        <w:t>.)</w:t>
      </w:r>
    </w:p>
    <w:p w14:paraId="04FE3927" w14:textId="77777777" w:rsidR="00D970C3" w:rsidRPr="00D970C3" w:rsidRDefault="00D970C3" w:rsidP="00D970C3">
      <w:pPr>
        <w:ind w:left="720"/>
        <w:rPr>
          <w:sz w:val="20"/>
          <w:szCs w:val="20"/>
        </w:rPr>
      </w:pPr>
    </w:p>
    <w:p w14:paraId="27E32F43" w14:textId="77777777" w:rsidR="00D970C3" w:rsidRPr="00D970C3" w:rsidRDefault="00D970C3" w:rsidP="00D970C3">
      <w:pPr>
        <w:pStyle w:val="ScopeofServices"/>
        <w:rPr>
          <w:color w:val="auto"/>
        </w:rPr>
      </w:pPr>
      <w:r w:rsidRPr="00D970C3">
        <w:rPr>
          <w:color w:val="auto"/>
        </w:rPr>
        <w:t xml:space="preserve">Required services include:  </w:t>
      </w:r>
    </w:p>
    <w:p w14:paraId="5198E99E" w14:textId="77777777" w:rsidR="00D970C3" w:rsidRPr="00D970C3" w:rsidRDefault="00D970C3" w:rsidP="00D970C3">
      <w:pPr>
        <w:pStyle w:val="ScopeofServices"/>
        <w:rPr>
          <w:color w:val="auto"/>
        </w:rPr>
      </w:pPr>
    </w:p>
    <w:p w14:paraId="724728CA" w14:textId="77777777" w:rsidR="00D970C3" w:rsidRPr="00D970C3" w:rsidRDefault="00D970C3" w:rsidP="001777FA">
      <w:pPr>
        <w:pStyle w:val="ScopeofServices"/>
        <w:numPr>
          <w:ilvl w:val="0"/>
          <w:numId w:val="53"/>
        </w:numPr>
        <w:rPr>
          <w:color w:val="auto"/>
        </w:rPr>
      </w:pPr>
      <w:r w:rsidRPr="00D970C3">
        <w:rPr>
          <w:color w:val="auto"/>
        </w:rPr>
        <w:t xml:space="preserve">Provide a competitive earnings credit rate for </w:t>
      </w:r>
      <w:proofErr w:type="spellStart"/>
      <w:r w:rsidRPr="00D970C3">
        <w:rPr>
          <w:color w:val="auto"/>
        </w:rPr>
        <w:t>uninvested</w:t>
      </w:r>
      <w:proofErr w:type="spellEnd"/>
      <w:r w:rsidRPr="00D970C3">
        <w:rPr>
          <w:color w:val="auto"/>
        </w:rPr>
        <w:t xml:space="preserve"> balances</w:t>
      </w:r>
      <w:r w:rsidR="00E3624C">
        <w:rPr>
          <w:color w:val="auto"/>
        </w:rPr>
        <w:t>;</w:t>
      </w:r>
    </w:p>
    <w:p w14:paraId="2EF4B7C8" w14:textId="77777777" w:rsidR="00D970C3" w:rsidRPr="00D970C3" w:rsidRDefault="00D970C3" w:rsidP="001777FA">
      <w:pPr>
        <w:pStyle w:val="ScopeofServices"/>
        <w:numPr>
          <w:ilvl w:val="0"/>
          <w:numId w:val="53"/>
        </w:numPr>
        <w:rPr>
          <w:color w:val="auto"/>
        </w:rPr>
      </w:pPr>
      <w:r w:rsidRPr="00D970C3">
        <w:rPr>
          <w:color w:val="auto"/>
        </w:rPr>
        <w:t>Provide an overnight investment service (sweep) and/or interest bearing account for excess cash balances in the demand deposit accounts</w:t>
      </w:r>
      <w:r w:rsidR="00E3624C">
        <w:rPr>
          <w:color w:val="auto"/>
        </w:rPr>
        <w:t>;</w:t>
      </w:r>
    </w:p>
    <w:p w14:paraId="7D3B4ACB" w14:textId="77777777" w:rsidR="00D970C3" w:rsidRPr="00D970C3" w:rsidRDefault="00D970C3" w:rsidP="001777FA">
      <w:pPr>
        <w:pStyle w:val="ScopeofServices"/>
        <w:numPr>
          <w:ilvl w:val="0"/>
          <w:numId w:val="53"/>
        </w:numPr>
        <w:rPr>
          <w:color w:val="auto"/>
        </w:rPr>
      </w:pPr>
      <w:r w:rsidRPr="00D970C3">
        <w:rPr>
          <w:color w:val="auto"/>
        </w:rPr>
        <w:t>Collateralize all collected balances, in excess of balances insured by the FDIC, as per the collateral requirements of the State of Delaware</w:t>
      </w:r>
      <w:r w:rsidR="00E3624C">
        <w:rPr>
          <w:color w:val="auto"/>
        </w:rPr>
        <w:t>;</w:t>
      </w:r>
      <w:r w:rsidRPr="00D970C3">
        <w:rPr>
          <w:color w:val="auto"/>
        </w:rPr>
        <w:t xml:space="preserve"> and</w:t>
      </w:r>
    </w:p>
    <w:p w14:paraId="66B15776" w14:textId="77777777" w:rsidR="00D970C3" w:rsidRPr="00D970C3" w:rsidRDefault="00D970C3" w:rsidP="001777FA">
      <w:pPr>
        <w:pStyle w:val="ScopeofServices"/>
        <w:numPr>
          <w:ilvl w:val="0"/>
          <w:numId w:val="53"/>
        </w:numPr>
        <w:rPr>
          <w:color w:val="auto"/>
        </w:rPr>
      </w:pPr>
      <w:r w:rsidRPr="00D970C3">
        <w:rPr>
          <w:color w:val="auto"/>
        </w:rPr>
        <w:t xml:space="preserve">Meet all requirements for the investment of State funds as described above and in </w:t>
      </w:r>
      <w:r w:rsidR="004E63B9">
        <w:rPr>
          <w:color w:val="auto"/>
        </w:rPr>
        <w:t xml:space="preserve">the </w:t>
      </w:r>
      <w:r w:rsidRPr="00D970C3">
        <w:rPr>
          <w:color w:val="auto"/>
        </w:rPr>
        <w:t xml:space="preserve">Guidelines (found </w:t>
      </w:r>
      <w:r w:rsidRPr="00D222A5">
        <w:rPr>
          <w:color w:val="auto"/>
        </w:rPr>
        <w:t xml:space="preserve">in </w:t>
      </w:r>
      <w:r w:rsidRPr="004E63B9">
        <w:rPr>
          <w:b/>
          <w:color w:val="auto"/>
        </w:rPr>
        <w:t>Appendix</w:t>
      </w:r>
      <w:r w:rsidR="00F96D03" w:rsidRPr="004E63B9">
        <w:rPr>
          <w:b/>
          <w:color w:val="auto"/>
        </w:rPr>
        <w:t xml:space="preserve"> </w:t>
      </w:r>
      <w:r w:rsidR="00D222A5" w:rsidRPr="00D222A5">
        <w:rPr>
          <w:b/>
          <w:color w:val="auto"/>
        </w:rPr>
        <w:t>B</w:t>
      </w:r>
      <w:r w:rsidR="00D222A5" w:rsidRPr="00D222A5">
        <w:rPr>
          <w:color w:val="auto"/>
        </w:rPr>
        <w:t>)</w:t>
      </w:r>
      <w:r w:rsidRPr="00D222A5">
        <w:rPr>
          <w:color w:val="auto"/>
        </w:rPr>
        <w:t>.</w:t>
      </w:r>
    </w:p>
    <w:p w14:paraId="3C7544AD" w14:textId="77777777" w:rsidR="00D970C3" w:rsidRDefault="00D970C3" w:rsidP="00E76DEE">
      <w:pPr>
        <w:jc w:val="both"/>
      </w:pPr>
    </w:p>
    <w:p w14:paraId="79D86F85" w14:textId="77777777" w:rsidR="003069F1" w:rsidRDefault="003069F1" w:rsidP="003069F1">
      <w:pPr>
        <w:pStyle w:val="ListParagraph"/>
        <w:rPr>
          <w:sz w:val="20"/>
          <w:szCs w:val="20"/>
        </w:rPr>
      </w:pPr>
    </w:p>
    <w:p w14:paraId="7F3B36E0" w14:textId="77777777" w:rsidR="003069F1" w:rsidRDefault="003069F1" w:rsidP="003069F1">
      <w:pPr>
        <w:pStyle w:val="ListParagraph"/>
        <w:rPr>
          <w:sz w:val="20"/>
          <w:szCs w:val="20"/>
        </w:rPr>
      </w:pPr>
    </w:p>
    <w:p w14:paraId="1DB52F6E" w14:textId="77777777" w:rsidR="003069F1" w:rsidRPr="00AD4388" w:rsidRDefault="003069F1" w:rsidP="003069F1">
      <w:pPr>
        <w:pStyle w:val="ListParagraph"/>
        <w:rPr>
          <w:color w:val="FF0000"/>
          <w:sz w:val="20"/>
          <w:szCs w:val="20"/>
        </w:rPr>
      </w:pPr>
    </w:p>
    <w:p w14:paraId="4AE952C5" w14:textId="77777777" w:rsidR="009279C5" w:rsidRDefault="00E76DEE" w:rsidP="00E76DEE">
      <w:pPr>
        <w:rPr>
          <w:b/>
        </w:rPr>
        <w:sectPr w:rsidR="009279C5" w:rsidSect="006D6145">
          <w:footerReference w:type="even" r:id="rId23"/>
          <w:footerReference w:type="default" r:id="rId24"/>
          <w:pgSz w:w="12240" w:h="15840" w:code="1"/>
          <w:pgMar w:top="1440" w:right="1440" w:bottom="1080" w:left="1440" w:header="144" w:footer="432" w:gutter="0"/>
          <w:cols w:space="720"/>
          <w:noEndnote/>
          <w:docGrid w:linePitch="326"/>
        </w:sectPr>
      </w:pPr>
      <w:r>
        <w:rPr>
          <w:b/>
        </w:rPr>
        <w:br w:type="page"/>
      </w:r>
    </w:p>
    <w:p w14:paraId="7419382A" w14:textId="77777777" w:rsidR="00A82C1E" w:rsidRDefault="00A82C1E" w:rsidP="00A82C1E">
      <w:pPr>
        <w:pStyle w:val="Heading4"/>
      </w:pPr>
      <w:r>
        <w:t>Appendix</w:t>
      </w:r>
      <w:r w:rsidRPr="00DD2A68">
        <w:t xml:space="preserve"> </w:t>
      </w:r>
      <w:r>
        <w:t>B:  Cash Management Policy Board Guidelines</w:t>
      </w:r>
    </w:p>
    <w:p w14:paraId="068C92FB" w14:textId="77777777" w:rsidR="00A82C1E" w:rsidRDefault="00A82C1E" w:rsidP="00A82C1E">
      <w:pPr>
        <w:rPr>
          <w:rFonts w:ascii="Arial Black" w:hAnsi="Arial Black"/>
          <w:b/>
          <w:sz w:val="28"/>
          <w:szCs w:val="28"/>
        </w:rPr>
      </w:pPr>
      <w:r w:rsidRPr="00DD2A68">
        <w:rPr>
          <w:sz w:val="20"/>
          <w:szCs w:val="20"/>
        </w:rPr>
        <w:t>CONTRACT N</w:t>
      </w:r>
      <w:r>
        <w:rPr>
          <w:sz w:val="20"/>
          <w:szCs w:val="20"/>
        </w:rPr>
        <w:t>UMBER</w:t>
      </w:r>
      <w:r w:rsidRPr="00DD2A68">
        <w:rPr>
          <w:sz w:val="20"/>
          <w:szCs w:val="20"/>
        </w:rPr>
        <w:t>:</w:t>
      </w:r>
      <w:r w:rsidRPr="00DD2A68">
        <w:rPr>
          <w:sz w:val="20"/>
          <w:szCs w:val="20"/>
        </w:rPr>
        <w:tab/>
      </w:r>
      <w:r w:rsidR="00027A2F">
        <w:rPr>
          <w:sz w:val="20"/>
          <w:szCs w:val="20"/>
        </w:rPr>
        <w:t>TRE19202-LOCALBANKS</w:t>
      </w:r>
    </w:p>
    <w:p w14:paraId="59EF5410" w14:textId="77777777" w:rsidR="00A82C1E" w:rsidRDefault="00A82C1E" w:rsidP="00A82C1E">
      <w:pPr>
        <w:jc w:val="center"/>
        <w:rPr>
          <w:b/>
        </w:rPr>
      </w:pPr>
    </w:p>
    <w:p w14:paraId="4D78E272" w14:textId="77777777" w:rsidR="00A82C1E" w:rsidRPr="00B14629" w:rsidRDefault="00A82C1E" w:rsidP="00A82C1E">
      <w:pPr>
        <w:autoSpaceDE w:val="0"/>
        <w:autoSpaceDN w:val="0"/>
        <w:adjustRightInd w:val="0"/>
        <w:jc w:val="center"/>
        <w:rPr>
          <w:color w:val="000000"/>
          <w:sz w:val="20"/>
          <w:szCs w:val="20"/>
        </w:rPr>
      </w:pPr>
      <w:r w:rsidRPr="00B14629">
        <w:rPr>
          <w:b/>
          <w:bCs/>
          <w:color w:val="000000"/>
          <w:sz w:val="20"/>
          <w:szCs w:val="20"/>
        </w:rPr>
        <w:t>STATEMENT OF OBJECTIVES AND GUIDELINES FOR THE INVESTMENT</w:t>
      </w:r>
    </w:p>
    <w:p w14:paraId="31941A30" w14:textId="77777777" w:rsidR="00A82C1E" w:rsidRPr="00B14629" w:rsidRDefault="00A82C1E" w:rsidP="00A82C1E">
      <w:pPr>
        <w:autoSpaceDE w:val="0"/>
        <w:autoSpaceDN w:val="0"/>
        <w:adjustRightInd w:val="0"/>
        <w:jc w:val="center"/>
        <w:rPr>
          <w:color w:val="000000"/>
          <w:sz w:val="20"/>
          <w:szCs w:val="20"/>
        </w:rPr>
      </w:pPr>
      <w:r w:rsidRPr="00B14629">
        <w:rPr>
          <w:b/>
          <w:bCs/>
          <w:color w:val="000000"/>
          <w:sz w:val="20"/>
          <w:szCs w:val="20"/>
        </w:rPr>
        <w:t>OF STATE OF DELAWARE FUNDS</w:t>
      </w:r>
    </w:p>
    <w:p w14:paraId="19BD770F" w14:textId="77777777" w:rsidR="00A82C1E" w:rsidRPr="00B14629" w:rsidRDefault="00A82C1E" w:rsidP="00A82C1E">
      <w:pPr>
        <w:autoSpaceDE w:val="0"/>
        <w:autoSpaceDN w:val="0"/>
        <w:adjustRightInd w:val="0"/>
        <w:jc w:val="center"/>
        <w:rPr>
          <w:color w:val="000000"/>
          <w:sz w:val="20"/>
          <w:szCs w:val="20"/>
        </w:rPr>
      </w:pPr>
      <w:r w:rsidRPr="00B14629">
        <w:rPr>
          <w:color w:val="000000"/>
          <w:sz w:val="20"/>
          <w:szCs w:val="20"/>
        </w:rPr>
        <w:t>Originally adopted January 18, 1982</w:t>
      </w:r>
    </w:p>
    <w:p w14:paraId="148D4934" w14:textId="77777777" w:rsidR="00A82C1E" w:rsidRPr="00B14629" w:rsidRDefault="00A82C1E" w:rsidP="00A82C1E">
      <w:pPr>
        <w:autoSpaceDE w:val="0"/>
        <w:autoSpaceDN w:val="0"/>
        <w:adjustRightInd w:val="0"/>
        <w:jc w:val="center"/>
        <w:rPr>
          <w:color w:val="000000"/>
          <w:sz w:val="20"/>
          <w:szCs w:val="20"/>
        </w:rPr>
      </w:pPr>
      <w:r w:rsidRPr="00B14629">
        <w:rPr>
          <w:color w:val="000000"/>
          <w:sz w:val="20"/>
          <w:szCs w:val="20"/>
        </w:rPr>
        <w:t>Revised May 14, 2018</w:t>
      </w:r>
    </w:p>
    <w:p w14:paraId="0B3DFFB3" w14:textId="77777777" w:rsidR="00A82C1E" w:rsidRPr="00B14629" w:rsidRDefault="00A82C1E" w:rsidP="00A82C1E">
      <w:pPr>
        <w:autoSpaceDE w:val="0"/>
        <w:autoSpaceDN w:val="0"/>
        <w:adjustRightInd w:val="0"/>
        <w:rPr>
          <w:b/>
          <w:bCs/>
          <w:color w:val="000000"/>
          <w:sz w:val="20"/>
          <w:szCs w:val="20"/>
        </w:rPr>
      </w:pPr>
    </w:p>
    <w:p w14:paraId="64872528"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1.0 Statutory Authorization </w:t>
      </w:r>
    </w:p>
    <w:p w14:paraId="2FA9530A" w14:textId="77777777" w:rsidR="00A82C1E" w:rsidRPr="00B14629" w:rsidRDefault="00A82C1E" w:rsidP="00A82C1E">
      <w:pPr>
        <w:autoSpaceDE w:val="0"/>
        <w:autoSpaceDN w:val="0"/>
        <w:adjustRightInd w:val="0"/>
        <w:rPr>
          <w:b/>
          <w:bCs/>
          <w:color w:val="000000"/>
          <w:sz w:val="20"/>
          <w:szCs w:val="20"/>
        </w:rPr>
      </w:pPr>
    </w:p>
    <w:p w14:paraId="0DE36281"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1.1 Role of the Cash Management Policy Board</w:t>
      </w:r>
      <w:r w:rsidRPr="00B14629">
        <w:rPr>
          <w:color w:val="000000"/>
          <w:sz w:val="20"/>
          <w:szCs w:val="20"/>
        </w:rPr>
        <w:t xml:space="preserve">. </w:t>
      </w:r>
      <w:proofErr w:type="gramStart"/>
      <w:r w:rsidRPr="00B14629">
        <w:rPr>
          <w:color w:val="000000"/>
          <w:sz w:val="20"/>
          <w:szCs w:val="20"/>
        </w:rPr>
        <w:t xml:space="preserve">The Cash Management Policy Board ("Board") was created by 63 </w:t>
      </w:r>
      <w:r w:rsidRPr="00B14629">
        <w:rPr>
          <w:i/>
          <w:iCs/>
          <w:color w:val="000000"/>
          <w:sz w:val="20"/>
          <w:szCs w:val="20"/>
        </w:rPr>
        <w:t>Del. Laws</w:t>
      </w:r>
      <w:r w:rsidRPr="00B14629">
        <w:rPr>
          <w:color w:val="000000"/>
          <w:sz w:val="20"/>
          <w:szCs w:val="20"/>
        </w:rPr>
        <w:t xml:space="preserve">, </w:t>
      </w:r>
      <w:proofErr w:type="spellStart"/>
      <w:r w:rsidRPr="00B14629">
        <w:rPr>
          <w:color w:val="000000"/>
          <w:sz w:val="20"/>
          <w:szCs w:val="20"/>
        </w:rPr>
        <w:t>ch.</w:t>
      </w:r>
      <w:proofErr w:type="spellEnd"/>
      <w:r w:rsidRPr="00B14629">
        <w:rPr>
          <w:color w:val="000000"/>
          <w:sz w:val="20"/>
          <w:szCs w:val="20"/>
        </w:rPr>
        <w:t xml:space="preserve"> 142, to establish policies (a) for the investment of all money belonging to the State or on deposit from its political subdivisions, other than money deposited in any State Pension Fund or the State Deferred Compensation Program (“State Funds”), and (b) to determine the terms, conditions and other matters relating to those investments, including the designation of permissible investments.</w:t>
      </w:r>
      <w:proofErr w:type="gramEnd"/>
      <w:r w:rsidRPr="00B14629">
        <w:rPr>
          <w:color w:val="000000"/>
          <w:sz w:val="20"/>
          <w:szCs w:val="20"/>
        </w:rPr>
        <w:t xml:space="preserve"> </w:t>
      </w:r>
    </w:p>
    <w:p w14:paraId="6746A75B"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1.2 Role of the Office of the State Treasurer</w:t>
      </w:r>
      <w:r w:rsidRPr="00B14629">
        <w:rPr>
          <w:color w:val="000000"/>
          <w:sz w:val="20"/>
          <w:szCs w:val="20"/>
        </w:rPr>
        <w:t xml:space="preserve">. The investment of State Funds is to </w:t>
      </w:r>
      <w:proofErr w:type="gramStart"/>
      <w:r w:rsidRPr="00B14629">
        <w:rPr>
          <w:color w:val="000000"/>
          <w:sz w:val="20"/>
          <w:szCs w:val="20"/>
        </w:rPr>
        <w:t>be made</w:t>
      </w:r>
      <w:proofErr w:type="gramEnd"/>
      <w:r w:rsidRPr="00B14629">
        <w:rPr>
          <w:color w:val="000000"/>
          <w:sz w:val="20"/>
          <w:szCs w:val="20"/>
        </w:rPr>
        <w:t xml:space="preserve"> by the Office of the State Treasurer (“OST”) in accordance with the objectives and guidelines outlined herein (“Guidelines”); provided, however, that the Board, by majority vote, may authorize OST to depart from the Guidelines. </w:t>
      </w:r>
    </w:p>
    <w:p w14:paraId="1C8F4C9D" w14:textId="77777777" w:rsidR="00A82C1E" w:rsidRPr="00B14629" w:rsidRDefault="00A82C1E" w:rsidP="00A82C1E">
      <w:pPr>
        <w:autoSpaceDE w:val="0"/>
        <w:autoSpaceDN w:val="0"/>
        <w:adjustRightInd w:val="0"/>
        <w:rPr>
          <w:b/>
          <w:bCs/>
          <w:color w:val="000000"/>
          <w:sz w:val="20"/>
          <w:szCs w:val="20"/>
        </w:rPr>
      </w:pPr>
    </w:p>
    <w:p w14:paraId="407AF4DB"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2.0 Accounts </w:t>
      </w:r>
    </w:p>
    <w:p w14:paraId="48105CE2" w14:textId="77777777" w:rsidR="00A82C1E" w:rsidRPr="00B14629" w:rsidRDefault="00A82C1E" w:rsidP="00A82C1E">
      <w:pPr>
        <w:autoSpaceDE w:val="0"/>
        <w:autoSpaceDN w:val="0"/>
        <w:adjustRightInd w:val="0"/>
        <w:rPr>
          <w:b/>
          <w:bCs/>
          <w:color w:val="000000"/>
          <w:sz w:val="20"/>
          <w:szCs w:val="20"/>
        </w:rPr>
      </w:pPr>
    </w:p>
    <w:p w14:paraId="36C83673"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2.1 Designation of Accounts. </w:t>
      </w:r>
      <w:r w:rsidRPr="00B14629">
        <w:rPr>
          <w:color w:val="000000"/>
          <w:sz w:val="20"/>
          <w:szCs w:val="20"/>
        </w:rPr>
        <w:t xml:space="preserve">For purposes of these Guidelines, State Funds are to be </w:t>
      </w:r>
      <w:proofErr w:type="gramStart"/>
      <w:r w:rsidRPr="00B14629">
        <w:rPr>
          <w:color w:val="000000"/>
          <w:sz w:val="20"/>
          <w:szCs w:val="20"/>
        </w:rPr>
        <w:t>allocated</w:t>
      </w:r>
      <w:proofErr w:type="gramEnd"/>
      <w:r w:rsidRPr="00B14629">
        <w:rPr>
          <w:color w:val="000000"/>
          <w:sz w:val="20"/>
          <w:szCs w:val="20"/>
        </w:rPr>
        <w:t xml:space="preserve"> and held in a variety of accounts as outlined below (“Accounts”): </w:t>
      </w:r>
    </w:p>
    <w:p w14:paraId="39DDA648"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2.1.1 Collection and Disbursement Accounts</w:t>
      </w:r>
      <w:r w:rsidRPr="00B14629">
        <w:rPr>
          <w:color w:val="000000"/>
          <w:sz w:val="20"/>
          <w:szCs w:val="20"/>
        </w:rPr>
        <w:t xml:space="preserve">. Cash required to meet the </w:t>
      </w:r>
      <w:proofErr w:type="gramStart"/>
      <w:r w:rsidRPr="00B14629">
        <w:rPr>
          <w:color w:val="000000"/>
          <w:sz w:val="20"/>
          <w:szCs w:val="20"/>
        </w:rPr>
        <w:t>State’s</w:t>
      </w:r>
      <w:proofErr w:type="gramEnd"/>
      <w:r w:rsidRPr="00B14629">
        <w:rPr>
          <w:color w:val="000000"/>
          <w:sz w:val="20"/>
          <w:szCs w:val="20"/>
        </w:rPr>
        <w:t xml:space="preserve"> anticipated near-term operating requirements is to be held in “Collection and Disbursement Accounts.” These accounts will be managed and invested in accordance with the general provisions of these Guidelines and the specific provisions of Section 5.0 below by qualified financial institutions (“Cash Management Banks”) selected by the Board through a competitive bid process. </w:t>
      </w:r>
    </w:p>
    <w:p w14:paraId="0740DD18"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2.1.2 Liquidity Accounts. </w:t>
      </w:r>
      <w:r w:rsidRPr="00B14629">
        <w:rPr>
          <w:color w:val="000000"/>
          <w:sz w:val="20"/>
          <w:szCs w:val="20"/>
        </w:rPr>
        <w:t xml:space="preserve">Cash not required for the </w:t>
      </w:r>
      <w:proofErr w:type="gramStart"/>
      <w:r w:rsidRPr="00B14629">
        <w:rPr>
          <w:color w:val="000000"/>
          <w:sz w:val="20"/>
          <w:szCs w:val="20"/>
        </w:rPr>
        <w:t>State’s</w:t>
      </w:r>
      <w:proofErr w:type="gramEnd"/>
      <w:r w:rsidRPr="00B14629">
        <w:rPr>
          <w:color w:val="000000"/>
          <w:sz w:val="20"/>
          <w:szCs w:val="20"/>
        </w:rPr>
        <w:t xml:space="preserve"> near-term operating requirements but readily available for anticipated funding needs of the State will be held in “Liquidity Accounts.” State Funds in these accounts will be managed and invested in accordance with the general provisions of these Guidelines and the specific provisions of Section 6.0 below by qualified investment managers (“Liquidity Managers”) selected by the Board through a competitive bid process. </w:t>
      </w:r>
    </w:p>
    <w:p w14:paraId="5E6E9964"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2.1.3 Reserve Accounts</w:t>
      </w:r>
      <w:r w:rsidRPr="00B14629">
        <w:rPr>
          <w:color w:val="000000"/>
          <w:sz w:val="20"/>
          <w:szCs w:val="20"/>
        </w:rPr>
        <w:t xml:space="preserve">. Cash that is not anticipated to be needed for the State’s near-term operating requirements or funding needs, but can be made available for unanticipated needs is to be held in “Reserve Accounts”. State Funds in these accounts will be managed and invested in accordance with the general provisions of these Guidelines and the specific provisions of Section 7.0 below by qualified investment managers (“Reserve Managers”) selected by the Board through a competitive bid process. </w:t>
      </w:r>
    </w:p>
    <w:p w14:paraId="53FF6998"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2.1.4 Endowment Accounts</w:t>
      </w:r>
      <w:r w:rsidRPr="00B14629">
        <w:rPr>
          <w:color w:val="000000"/>
          <w:sz w:val="20"/>
          <w:szCs w:val="20"/>
        </w:rPr>
        <w:t xml:space="preserve">. “Endowment Accounts” consist of State Funds set-aside for specified legislative purposes with the intent of growing the corpus of such funds over time. State Funds in these accounts </w:t>
      </w:r>
      <w:proofErr w:type="gramStart"/>
      <w:r w:rsidRPr="00B14629">
        <w:rPr>
          <w:color w:val="000000"/>
          <w:sz w:val="20"/>
          <w:szCs w:val="20"/>
        </w:rPr>
        <w:t>will be managed and invested in accordance with the general provisions of these Guidelines and the specific provisions of Section 8.0 below by qualified investment managers selected by the Board through a competitive bid process (“Endowment Managers”)</w:t>
      </w:r>
      <w:proofErr w:type="gramEnd"/>
      <w:r w:rsidRPr="00B14629">
        <w:rPr>
          <w:color w:val="000000"/>
          <w:sz w:val="20"/>
          <w:szCs w:val="20"/>
        </w:rPr>
        <w:t xml:space="preserve">. </w:t>
      </w:r>
    </w:p>
    <w:p w14:paraId="0882C503" w14:textId="77777777" w:rsidR="00A82C1E" w:rsidRPr="00B14629" w:rsidRDefault="00A82C1E" w:rsidP="00A82C1E">
      <w:pPr>
        <w:pStyle w:val="Default"/>
        <w:ind w:left="360"/>
        <w:rPr>
          <w:rFonts w:ascii="Arial" w:eastAsia="Times New Roman" w:hAnsi="Arial" w:cs="Arial"/>
          <w:sz w:val="20"/>
          <w:szCs w:val="20"/>
        </w:rPr>
      </w:pPr>
      <w:r w:rsidRPr="00B14629">
        <w:rPr>
          <w:rFonts w:ascii="Arial" w:eastAsia="Times New Roman" w:hAnsi="Arial" w:cs="Arial"/>
          <w:b/>
          <w:bCs/>
          <w:sz w:val="20"/>
          <w:szCs w:val="20"/>
        </w:rPr>
        <w:t xml:space="preserve">2.1.5 Operating Accounts. </w:t>
      </w:r>
      <w:r w:rsidRPr="00B14629">
        <w:rPr>
          <w:rFonts w:ascii="Arial" w:eastAsia="Times New Roman" w:hAnsi="Arial" w:cs="Arial"/>
          <w:sz w:val="20"/>
          <w:szCs w:val="20"/>
        </w:rPr>
        <w:t xml:space="preserve">“Operating Accounts” consist of State Funds set aside for specified purposes to be made available as and when required to meet such purposes. State Funds in these accounts </w:t>
      </w:r>
      <w:proofErr w:type="gramStart"/>
      <w:r w:rsidRPr="00B14629">
        <w:rPr>
          <w:rFonts w:ascii="Arial" w:eastAsia="Times New Roman" w:hAnsi="Arial" w:cs="Arial"/>
          <w:sz w:val="20"/>
          <w:szCs w:val="20"/>
        </w:rPr>
        <w:t>will be managed and invested in accordance with the general provisions of these Guidelines and the specific provisions of Section 9.0 below by Liquidity Managers or such other financial institutions as determined by the Board</w:t>
      </w:r>
      <w:proofErr w:type="gramEnd"/>
      <w:r w:rsidRPr="00B14629">
        <w:rPr>
          <w:rFonts w:ascii="Arial" w:eastAsia="Times New Roman" w:hAnsi="Arial" w:cs="Arial"/>
          <w:sz w:val="20"/>
          <w:szCs w:val="20"/>
        </w:rPr>
        <w:t xml:space="preserve">. </w:t>
      </w:r>
    </w:p>
    <w:p w14:paraId="1BCCC0EF"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2.2 List of Accounts</w:t>
      </w:r>
      <w:r w:rsidRPr="00B14629">
        <w:rPr>
          <w:color w:val="000000"/>
          <w:sz w:val="20"/>
          <w:szCs w:val="20"/>
        </w:rPr>
        <w:t xml:space="preserve">. OST shall maintain on its website a current listing of all Accounts and the Cash Management Banks, Liquidity Managers, Reserve Managers, and Endowment Managers approved by the Board to manage State Funds in such Accounts. </w:t>
      </w:r>
    </w:p>
    <w:p w14:paraId="1912572F" w14:textId="77777777" w:rsidR="00A82C1E" w:rsidRPr="00B14629" w:rsidRDefault="00A82C1E" w:rsidP="00A82C1E">
      <w:pPr>
        <w:autoSpaceDE w:val="0"/>
        <w:autoSpaceDN w:val="0"/>
        <w:adjustRightInd w:val="0"/>
        <w:rPr>
          <w:b/>
          <w:bCs/>
          <w:color w:val="000000"/>
          <w:sz w:val="20"/>
          <w:szCs w:val="20"/>
        </w:rPr>
      </w:pPr>
    </w:p>
    <w:p w14:paraId="6FA76F0D" w14:textId="77777777" w:rsidR="00574DA3" w:rsidRDefault="00574DA3" w:rsidP="00A82C1E">
      <w:pPr>
        <w:autoSpaceDE w:val="0"/>
        <w:autoSpaceDN w:val="0"/>
        <w:adjustRightInd w:val="0"/>
        <w:rPr>
          <w:b/>
          <w:bCs/>
          <w:color w:val="000000"/>
          <w:sz w:val="20"/>
          <w:szCs w:val="20"/>
          <w:u w:val="single"/>
        </w:rPr>
      </w:pPr>
      <w:r>
        <w:rPr>
          <w:b/>
          <w:bCs/>
          <w:color w:val="000000"/>
          <w:sz w:val="20"/>
          <w:szCs w:val="20"/>
          <w:u w:val="single"/>
        </w:rPr>
        <w:br w:type="page"/>
      </w:r>
    </w:p>
    <w:p w14:paraId="055C42C8"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3.0 Allocation of State Funds </w:t>
      </w:r>
    </w:p>
    <w:p w14:paraId="3F7AAC47" w14:textId="77777777" w:rsidR="00A82C1E" w:rsidRPr="00B14629" w:rsidRDefault="00A82C1E" w:rsidP="00A82C1E">
      <w:pPr>
        <w:autoSpaceDE w:val="0"/>
        <w:autoSpaceDN w:val="0"/>
        <w:adjustRightInd w:val="0"/>
        <w:rPr>
          <w:b/>
          <w:bCs/>
          <w:color w:val="000000"/>
          <w:sz w:val="20"/>
          <w:szCs w:val="20"/>
        </w:rPr>
      </w:pPr>
    </w:p>
    <w:p w14:paraId="602FED6B"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3.1 General Allocation. </w:t>
      </w:r>
      <w:r w:rsidRPr="00B14629">
        <w:rPr>
          <w:color w:val="000000"/>
          <w:sz w:val="20"/>
          <w:szCs w:val="20"/>
        </w:rPr>
        <w:t>The Board is responsible for setting the policy as to the allocation of State Funds among the Accounts (29 Del. C. §2716(a</w:t>
      </w:r>
      <w:proofErr w:type="gramStart"/>
      <w:r w:rsidRPr="00B14629">
        <w:rPr>
          <w:color w:val="000000"/>
          <w:sz w:val="20"/>
          <w:szCs w:val="20"/>
        </w:rPr>
        <w:t>)(</w:t>
      </w:r>
      <w:proofErr w:type="gramEnd"/>
      <w:r w:rsidRPr="00B14629">
        <w:rPr>
          <w:color w:val="000000"/>
          <w:sz w:val="20"/>
          <w:szCs w:val="20"/>
        </w:rPr>
        <w:t xml:space="preserve">2)). </w:t>
      </w:r>
    </w:p>
    <w:p w14:paraId="29B4029B"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3.2 Allocation among Accounts </w:t>
      </w:r>
    </w:p>
    <w:p w14:paraId="79D4BAE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3.2.1 Cash Accounts</w:t>
      </w:r>
      <w:r w:rsidRPr="00B14629">
        <w:rPr>
          <w:color w:val="000000"/>
          <w:sz w:val="20"/>
          <w:szCs w:val="20"/>
        </w:rPr>
        <w:t xml:space="preserve">. Unless otherwise determined by the Board, OST shall use its discretion to allocate State Funds among the Collection and Disbursement Accounts, Liquidity Accounts, and Reserve Accounts (collectively, “Cash Accounts”) in accordance with the general purposes of such Accounts as described in Section 2.0 of these Guidelines and the investment objectives more particularly described in Sections 5.0 – 7.0 below. In general, OST attempts to minimize the number of transfers of State Funds in and out of both Liquidity Accounts and Reserve Accounts. In the former case, OST maintains balances of funds with the Cash Management Banks sufficient to meet the State’s daily requirements over the near-term, allowing Liquidity Account balances to fluctuate based on the reasonably predictable cyclical pattern of the State’s annual collections and disbursements. In the latter instance, OST allocates State Funds to and from Reserve Accounts only as unforeseen need for, or receipt of, funds occurs that deviates meaningfully from the State’s historical pattern of collections and disbursements. Notwithstanding the foregoing, the Board may express a fixed allocation of State Funds to </w:t>
      </w:r>
      <w:proofErr w:type="gramStart"/>
      <w:r w:rsidRPr="00B14629">
        <w:rPr>
          <w:color w:val="000000"/>
          <w:sz w:val="20"/>
          <w:szCs w:val="20"/>
        </w:rPr>
        <w:t>be held</w:t>
      </w:r>
      <w:proofErr w:type="gramEnd"/>
      <w:r w:rsidRPr="00B14629">
        <w:rPr>
          <w:color w:val="000000"/>
          <w:sz w:val="20"/>
          <w:szCs w:val="20"/>
        </w:rPr>
        <w:t xml:space="preserve"> in each of the Cash Accounts to reflect then-prevailing market conditions or other considerations related to the probable income from and/or level of risk related to the investment of State Funds. (29 </w:t>
      </w:r>
      <w:r w:rsidRPr="00B14629">
        <w:rPr>
          <w:i/>
          <w:iCs/>
          <w:color w:val="000000"/>
          <w:sz w:val="20"/>
          <w:szCs w:val="20"/>
        </w:rPr>
        <w:t xml:space="preserve">Del. C. </w:t>
      </w:r>
      <w:r w:rsidRPr="00B14629">
        <w:rPr>
          <w:color w:val="000000"/>
          <w:sz w:val="20"/>
          <w:szCs w:val="20"/>
        </w:rPr>
        <w:t xml:space="preserve">§2716(a)). In such cases, OST may be required to make </w:t>
      </w:r>
      <w:proofErr w:type="gramStart"/>
      <w:r w:rsidRPr="00B14629">
        <w:rPr>
          <w:color w:val="000000"/>
          <w:sz w:val="20"/>
          <w:szCs w:val="20"/>
        </w:rPr>
        <w:t>more frequent allocations among the Cash Accounts</w:t>
      </w:r>
      <w:proofErr w:type="gramEnd"/>
      <w:r w:rsidRPr="00B14629">
        <w:rPr>
          <w:color w:val="000000"/>
          <w:sz w:val="20"/>
          <w:szCs w:val="20"/>
        </w:rPr>
        <w:t xml:space="preserve">. </w:t>
      </w:r>
    </w:p>
    <w:p w14:paraId="71129AB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3.2.2 Endowment Accounts and Operating Accounts</w:t>
      </w:r>
      <w:r w:rsidRPr="00B14629">
        <w:rPr>
          <w:color w:val="000000"/>
          <w:sz w:val="20"/>
          <w:szCs w:val="20"/>
        </w:rPr>
        <w:t xml:space="preserve">, Unless otherwise determined by the Board, OST shall allocate State Funds to the Endowment Accounts and Operating Accounts in accordance with the general purposes of such Accounts described in Section 2.0 of these Guidelines and the investment objectives more particularly described in Sections 8.0 and 9.0 below. </w:t>
      </w:r>
    </w:p>
    <w:p w14:paraId="71C628E2"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3.3 Allocation among Banks and Managers </w:t>
      </w:r>
    </w:p>
    <w:p w14:paraId="5A1B4E2D"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3.3.1 Cash Management Banks</w:t>
      </w:r>
      <w:r w:rsidRPr="00B14629">
        <w:rPr>
          <w:color w:val="000000"/>
          <w:sz w:val="20"/>
          <w:szCs w:val="20"/>
        </w:rPr>
        <w:t xml:space="preserve">. Unless otherwise determined by the Board, OST shall further allocate State Funds in the Collection and Disbursement Accounts among the Cash Management Banks in such proportions as OST determines in its discretion are necessary or desirable to meet the State’s anticipated near-term anticipated operating liquidity requirements. </w:t>
      </w:r>
    </w:p>
    <w:p w14:paraId="6492F9B9"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3.3.2 Liquidity Managers</w:t>
      </w:r>
      <w:r w:rsidRPr="00B14629">
        <w:rPr>
          <w:color w:val="000000"/>
          <w:sz w:val="20"/>
          <w:szCs w:val="20"/>
        </w:rPr>
        <w:t xml:space="preserve">. Unless otherwise determined by the Board and subject to the provisions of subsection 3.3.5 below, OST shall further allocate State Funds in the Liquidity Accounts pro rata among the Liquidity Managers based on the aggregate amount of State Funds in such Accounts. </w:t>
      </w:r>
    </w:p>
    <w:p w14:paraId="75832531"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3.3.3 Reserve Managers</w:t>
      </w:r>
      <w:r w:rsidRPr="00B14629">
        <w:rPr>
          <w:color w:val="000000"/>
          <w:sz w:val="20"/>
          <w:szCs w:val="20"/>
        </w:rPr>
        <w:t xml:space="preserve">. Unless otherwise determined by the Board, OST shall further allocate State Funds in the Reserve Accounts pro rata among the Reserve Managers based on the aggregate amount of State Funds in such Accounts. </w:t>
      </w:r>
    </w:p>
    <w:p w14:paraId="4336B3B9" w14:textId="77777777" w:rsidR="00A82C1E" w:rsidRPr="00B14629" w:rsidRDefault="00A82C1E" w:rsidP="00CC34E6">
      <w:pPr>
        <w:pStyle w:val="Default"/>
        <w:ind w:left="360" w:right="-720"/>
        <w:jc w:val="both"/>
      </w:pPr>
      <w:r w:rsidRPr="00B14629">
        <w:rPr>
          <w:rFonts w:ascii="Arial" w:eastAsia="Times New Roman" w:hAnsi="Arial" w:cs="Arial"/>
          <w:b/>
          <w:bCs/>
          <w:sz w:val="20"/>
          <w:szCs w:val="20"/>
        </w:rPr>
        <w:t>3.3.4 Endowment Managers</w:t>
      </w:r>
      <w:r w:rsidRPr="00B14629">
        <w:rPr>
          <w:rFonts w:ascii="Arial" w:eastAsia="Times New Roman" w:hAnsi="Arial" w:cs="Arial"/>
          <w:sz w:val="20"/>
          <w:szCs w:val="20"/>
        </w:rPr>
        <w:t>. Unless otherwise determined by the Board, OST shall further allocate State Funds in the Endowment Accounts pro rata among the Endowment Managers based on the aggregate amount of State Funds in such Accounts.</w:t>
      </w:r>
    </w:p>
    <w:p w14:paraId="2499A1D7"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3.3.5 Special Allocation of State Funds in Operating Accounts</w:t>
      </w:r>
      <w:r w:rsidRPr="00B14629">
        <w:rPr>
          <w:color w:val="000000"/>
          <w:sz w:val="20"/>
          <w:szCs w:val="20"/>
        </w:rPr>
        <w:t xml:space="preserve">. Unless otherwise determined by the Board, OST shall further allocate State Funds in Operating Accounts pro rata among the Liquidity Managers or such other financial institutions as directed by the Board pursuant to subsection 2.1.5. </w:t>
      </w:r>
    </w:p>
    <w:p w14:paraId="34E28295" w14:textId="77777777" w:rsidR="00A82C1E" w:rsidRPr="00B14629" w:rsidRDefault="00A82C1E" w:rsidP="00A82C1E">
      <w:pPr>
        <w:autoSpaceDE w:val="0"/>
        <w:autoSpaceDN w:val="0"/>
        <w:adjustRightInd w:val="0"/>
        <w:rPr>
          <w:b/>
          <w:bCs/>
          <w:color w:val="000000"/>
          <w:sz w:val="20"/>
          <w:szCs w:val="20"/>
        </w:rPr>
      </w:pPr>
    </w:p>
    <w:p w14:paraId="70B860EC"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4.0 General Investment Standards and Objectives </w:t>
      </w:r>
    </w:p>
    <w:p w14:paraId="6C6B32EB" w14:textId="77777777" w:rsidR="00A82C1E" w:rsidRPr="00B14629" w:rsidRDefault="00A82C1E" w:rsidP="00A82C1E">
      <w:pPr>
        <w:autoSpaceDE w:val="0"/>
        <w:autoSpaceDN w:val="0"/>
        <w:adjustRightInd w:val="0"/>
        <w:rPr>
          <w:b/>
          <w:bCs/>
          <w:color w:val="000000"/>
          <w:sz w:val="20"/>
          <w:szCs w:val="20"/>
        </w:rPr>
      </w:pPr>
    </w:p>
    <w:p w14:paraId="678D64DE"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4.1 Standard of Care</w:t>
      </w:r>
      <w:r w:rsidRPr="00B14629">
        <w:rPr>
          <w:color w:val="000000"/>
          <w:sz w:val="20"/>
          <w:szCs w:val="20"/>
        </w:rPr>
        <w:t xml:space="preserve">. In general, the banks and managers engaged as fiduciaries to manage State Funds shall exercise the judgment and care over the investment of such funds with the care, skill, prudence, and diligence under the circumstances then prevailing that prudent professional investment managers, acting in like capacity and familiar with such matters, would use in the investment of State Funds. </w:t>
      </w:r>
    </w:p>
    <w:p w14:paraId="36639076"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4.2 General Objectives</w:t>
      </w:r>
      <w:r w:rsidRPr="00B14629">
        <w:rPr>
          <w:color w:val="000000"/>
          <w:sz w:val="20"/>
          <w:szCs w:val="20"/>
        </w:rPr>
        <w:t xml:space="preserve">. Subject to the more specific policies set out in Sections 5.0, 6.0, 7.0, 8.0, and 9.0 of these Guidelines, State Funds shall be invested in a manner that ensures the safety of, provides liquidity for, and maximizes return on such funds. For purposes of these Guidelines, the foregoing priorities have the following meanings: </w:t>
      </w:r>
    </w:p>
    <w:p w14:paraId="24A9C35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4.2.1 Safety</w:t>
      </w:r>
      <w:r w:rsidRPr="00B14629">
        <w:rPr>
          <w:color w:val="000000"/>
          <w:sz w:val="20"/>
          <w:szCs w:val="20"/>
        </w:rPr>
        <w:t xml:space="preserve">. Safety </w:t>
      </w:r>
      <w:proofErr w:type="gramStart"/>
      <w:r w:rsidRPr="00B14629">
        <w:rPr>
          <w:color w:val="000000"/>
          <w:sz w:val="20"/>
          <w:szCs w:val="20"/>
        </w:rPr>
        <w:t>is defined</w:t>
      </w:r>
      <w:proofErr w:type="gramEnd"/>
      <w:r w:rsidRPr="00B14629">
        <w:rPr>
          <w:color w:val="000000"/>
          <w:sz w:val="20"/>
          <w:szCs w:val="20"/>
        </w:rPr>
        <w:t xml:space="preserve"> as the ability, under ordinary market conditions, to ensure against the loss of the original investment amount of State Funds. Investments </w:t>
      </w:r>
      <w:proofErr w:type="gramStart"/>
      <w:r w:rsidRPr="00B14629">
        <w:rPr>
          <w:color w:val="000000"/>
          <w:sz w:val="20"/>
          <w:szCs w:val="20"/>
        </w:rPr>
        <w:t>shall be undertaken</w:t>
      </w:r>
      <w:proofErr w:type="gramEnd"/>
      <w:r w:rsidRPr="00B14629">
        <w:rPr>
          <w:color w:val="000000"/>
          <w:sz w:val="20"/>
          <w:szCs w:val="20"/>
        </w:rPr>
        <w:t xml:space="preserve"> in a manner that seeks to ensure the preservation of capital in the portfolio. </w:t>
      </w:r>
    </w:p>
    <w:p w14:paraId="1FB82E49"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4.2.2 Liquidity</w:t>
      </w:r>
      <w:r w:rsidRPr="00B14629">
        <w:rPr>
          <w:color w:val="000000"/>
          <w:sz w:val="20"/>
          <w:szCs w:val="20"/>
        </w:rPr>
        <w:t xml:space="preserve">. Liquidity </w:t>
      </w:r>
      <w:proofErr w:type="gramStart"/>
      <w:r w:rsidRPr="00B14629">
        <w:rPr>
          <w:color w:val="000000"/>
          <w:sz w:val="20"/>
          <w:szCs w:val="20"/>
        </w:rPr>
        <w:t>is defined</w:t>
      </w:r>
      <w:proofErr w:type="gramEnd"/>
      <w:r w:rsidRPr="00B14629">
        <w:rPr>
          <w:color w:val="000000"/>
          <w:sz w:val="20"/>
          <w:szCs w:val="20"/>
        </w:rPr>
        <w:t xml:space="preserve"> as the capacity to realize, convert to cash, an asset in a timely fashion, at or near its value. An asset </w:t>
      </w:r>
      <w:proofErr w:type="gramStart"/>
      <w:r w:rsidRPr="00B14629">
        <w:rPr>
          <w:color w:val="000000"/>
          <w:sz w:val="20"/>
          <w:szCs w:val="20"/>
        </w:rPr>
        <w:t>is said</w:t>
      </w:r>
      <w:proofErr w:type="gramEnd"/>
      <w:r w:rsidRPr="00B14629">
        <w:rPr>
          <w:color w:val="000000"/>
          <w:sz w:val="20"/>
          <w:szCs w:val="20"/>
        </w:rPr>
        <w:t xml:space="preserve"> to be liquid when the act of selling has little impact on the asset’s price. State Funds shall remain </w:t>
      </w:r>
      <w:proofErr w:type="gramStart"/>
      <w:r w:rsidRPr="00B14629">
        <w:rPr>
          <w:color w:val="000000"/>
          <w:sz w:val="20"/>
          <w:szCs w:val="20"/>
        </w:rPr>
        <w:t>sufficiently liquid</w:t>
      </w:r>
      <w:proofErr w:type="gramEnd"/>
      <w:r w:rsidRPr="00B14629">
        <w:rPr>
          <w:color w:val="000000"/>
          <w:sz w:val="20"/>
          <w:szCs w:val="20"/>
        </w:rPr>
        <w:t xml:space="preserve"> to meet all anticipated operating requirements and funding needs, and should be managed and invested for availability to meet unanticipated needs with minimal losses associated with illiquidity. </w:t>
      </w:r>
    </w:p>
    <w:p w14:paraId="77D47125"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4.2.3 Return</w:t>
      </w:r>
      <w:r w:rsidRPr="00B14629">
        <w:rPr>
          <w:color w:val="000000"/>
          <w:sz w:val="20"/>
          <w:szCs w:val="20"/>
        </w:rPr>
        <w:t xml:space="preserve">. Return </w:t>
      </w:r>
      <w:proofErr w:type="gramStart"/>
      <w:r w:rsidRPr="00B14629">
        <w:rPr>
          <w:color w:val="000000"/>
          <w:sz w:val="20"/>
          <w:szCs w:val="20"/>
        </w:rPr>
        <w:t>is defined</w:t>
      </w:r>
      <w:proofErr w:type="gramEnd"/>
      <w:r w:rsidRPr="00B14629">
        <w:rPr>
          <w:color w:val="000000"/>
          <w:sz w:val="20"/>
          <w:szCs w:val="20"/>
        </w:rPr>
        <w:t xml:space="preserve"> as the gain or loss on an investment over a specified period. Gains on investments are considered </w:t>
      </w:r>
      <w:proofErr w:type="gramStart"/>
      <w:r w:rsidRPr="00B14629">
        <w:rPr>
          <w:color w:val="000000"/>
          <w:sz w:val="20"/>
          <w:szCs w:val="20"/>
        </w:rPr>
        <w:t>to be any</w:t>
      </w:r>
      <w:proofErr w:type="gramEnd"/>
      <w:r w:rsidRPr="00B14629">
        <w:rPr>
          <w:color w:val="000000"/>
          <w:sz w:val="20"/>
          <w:szCs w:val="20"/>
        </w:rPr>
        <w:t xml:space="preserve"> income received from the security plus the earnings an asset generates in excess of its initial cost. The State Funds portfolio </w:t>
      </w:r>
      <w:proofErr w:type="gramStart"/>
      <w:r w:rsidRPr="00B14629">
        <w:rPr>
          <w:color w:val="000000"/>
          <w:sz w:val="20"/>
          <w:szCs w:val="20"/>
        </w:rPr>
        <w:t>shall be designed</w:t>
      </w:r>
      <w:proofErr w:type="gramEnd"/>
      <w:r w:rsidRPr="00B14629">
        <w:rPr>
          <w:color w:val="000000"/>
          <w:sz w:val="20"/>
          <w:szCs w:val="20"/>
        </w:rPr>
        <w:t xml:space="preserve"> with the objective of attaining a market rate of return throughout budgetary and economic cycles, taking into account the investment risk constraints of safety and liquidity set out herein. </w:t>
      </w:r>
    </w:p>
    <w:p w14:paraId="2C059559" w14:textId="77777777" w:rsidR="00A82C1E" w:rsidRPr="00B14629" w:rsidRDefault="00A82C1E" w:rsidP="00A82C1E">
      <w:pPr>
        <w:autoSpaceDE w:val="0"/>
        <w:autoSpaceDN w:val="0"/>
        <w:adjustRightInd w:val="0"/>
        <w:rPr>
          <w:b/>
          <w:bCs/>
          <w:color w:val="000000"/>
          <w:sz w:val="20"/>
          <w:szCs w:val="20"/>
        </w:rPr>
      </w:pPr>
    </w:p>
    <w:p w14:paraId="6D3F4960"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5.0 Collection and Disbursement Accounts </w:t>
      </w:r>
    </w:p>
    <w:p w14:paraId="2FEEE41C" w14:textId="77777777" w:rsidR="00A82C1E" w:rsidRPr="00B14629" w:rsidRDefault="00A82C1E" w:rsidP="00A82C1E">
      <w:pPr>
        <w:autoSpaceDE w:val="0"/>
        <w:autoSpaceDN w:val="0"/>
        <w:adjustRightInd w:val="0"/>
        <w:rPr>
          <w:b/>
          <w:bCs/>
          <w:color w:val="000000"/>
          <w:sz w:val="20"/>
          <w:szCs w:val="20"/>
        </w:rPr>
      </w:pPr>
    </w:p>
    <w:p w14:paraId="7AB1BFF0"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5.1 Investment Objectives</w:t>
      </w:r>
      <w:r w:rsidRPr="00B14629">
        <w:rPr>
          <w:color w:val="000000"/>
          <w:sz w:val="20"/>
          <w:szCs w:val="20"/>
        </w:rPr>
        <w:t xml:space="preserve">. The funds in the Collection and Disbursement Accounts must be immediately available to support the State’s daily governmental programs and activities. The primary investment objectives are therefore safety and liquidity of such funds; return is a secondary priority. OST may, consistent with these investment objectives, minimize credit risk associated with demand deposit account balances at Cash Management Banks through same-day money market mutual fund sweep products in accordance with subsection 5.2.2 and/or banking services arrangements offering “daylight overdraft” or similar privileges. End-of-day ledger balances </w:t>
      </w:r>
      <w:proofErr w:type="gramStart"/>
      <w:r w:rsidRPr="00B14629">
        <w:rPr>
          <w:color w:val="000000"/>
          <w:sz w:val="20"/>
          <w:szCs w:val="20"/>
        </w:rPr>
        <w:t>shall be secured</w:t>
      </w:r>
      <w:proofErr w:type="gramEnd"/>
      <w:r w:rsidRPr="00B14629">
        <w:rPr>
          <w:color w:val="000000"/>
          <w:sz w:val="20"/>
          <w:szCs w:val="20"/>
        </w:rPr>
        <w:t xml:space="preserve"> as provided in Section 5.2. </w:t>
      </w:r>
    </w:p>
    <w:p w14:paraId="101D5C1E"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5.2 Permissible Investments</w:t>
      </w:r>
      <w:r w:rsidRPr="00B14629">
        <w:rPr>
          <w:color w:val="000000"/>
          <w:sz w:val="20"/>
          <w:szCs w:val="20"/>
        </w:rPr>
        <w:t xml:space="preserve">. Cash Management Banks shall maintain State Funds in either collateralized demand deposit accounts or open-end money market mutual funds, in each case, subject to the provisions of subsections 5.2.1 and 5.2.2, respectively, in order to mitigate the risk of State Funds </w:t>
      </w:r>
      <w:proofErr w:type="gramStart"/>
      <w:r w:rsidRPr="00B14629">
        <w:rPr>
          <w:color w:val="000000"/>
          <w:sz w:val="20"/>
          <w:szCs w:val="20"/>
        </w:rPr>
        <w:t>being exposed</w:t>
      </w:r>
      <w:proofErr w:type="gramEnd"/>
      <w:r w:rsidRPr="00B14629">
        <w:rPr>
          <w:color w:val="000000"/>
          <w:sz w:val="20"/>
          <w:szCs w:val="20"/>
        </w:rPr>
        <w:t xml:space="preserve"> to the credit risk of such financial institution. </w:t>
      </w:r>
    </w:p>
    <w:p w14:paraId="51639D2D" w14:textId="77777777" w:rsidR="00A82C1E" w:rsidRPr="00B14629" w:rsidRDefault="00A82C1E" w:rsidP="00A82C1E">
      <w:pPr>
        <w:pStyle w:val="Default"/>
        <w:ind w:left="360"/>
        <w:rPr>
          <w:rFonts w:ascii="Arial" w:eastAsia="Times New Roman" w:hAnsi="Arial" w:cs="Arial"/>
          <w:sz w:val="20"/>
          <w:szCs w:val="20"/>
        </w:rPr>
      </w:pPr>
      <w:r w:rsidRPr="00B14629">
        <w:rPr>
          <w:rFonts w:ascii="Arial" w:hAnsi="Arial" w:cs="Arial"/>
          <w:b/>
          <w:bCs/>
          <w:sz w:val="20"/>
          <w:szCs w:val="20"/>
        </w:rPr>
        <w:t xml:space="preserve">5.2.1 Demand Deposit Accounts. </w:t>
      </w:r>
      <w:proofErr w:type="gramStart"/>
      <w:r w:rsidRPr="00B14629">
        <w:rPr>
          <w:rFonts w:ascii="Arial" w:hAnsi="Arial" w:cs="Arial"/>
          <w:sz w:val="20"/>
          <w:szCs w:val="20"/>
        </w:rPr>
        <w:t xml:space="preserve">State Funds held by Cash Management Banks in demand deposit accounts shall be collateralized with one or more of following approved methods: (a) pledges of government securities that meet the definitions set out in subsections 6.3.1.1 and 6.3.2.1 to a custody account held for the benefit of the State at a Federal Reserve Bank, or held by an independent trust company, bank or similar financial institution rated in the highest rating category by at least one Nationally Recognized Statistical Rating Organizations approved by OST </w:t>
      </w:r>
      <w:r w:rsidRPr="00B14629">
        <w:rPr>
          <w:rFonts w:ascii="Arial" w:eastAsia="Times New Roman" w:hAnsi="Arial" w:cs="Arial"/>
          <w:sz w:val="20"/>
          <w:szCs w:val="20"/>
        </w:rPr>
        <w:t>(“NRSRO”); (b) irrevocable standby letters of credit (“LOCs”) issued by a Federal Home Loan Bank or financial institution rated in the highest rating category by at least one NRSRO; and (c) surety bonds issued by insurance companies rated in the highest rating category by at least one NRSRO (collectively, “Eligible Collateral”).</w:t>
      </w:r>
      <w:proofErr w:type="gramEnd"/>
      <w:r w:rsidRPr="00B14629">
        <w:rPr>
          <w:rFonts w:ascii="Arial" w:eastAsia="Times New Roman" w:hAnsi="Arial" w:cs="Arial"/>
          <w:sz w:val="20"/>
          <w:szCs w:val="20"/>
        </w:rPr>
        <w:t xml:space="preserve"> The terms of any pledge or custody agreement, LOC, or surety bond </w:t>
      </w:r>
      <w:proofErr w:type="gramStart"/>
      <w:r w:rsidRPr="00B14629">
        <w:rPr>
          <w:rFonts w:ascii="Arial" w:eastAsia="Times New Roman" w:hAnsi="Arial" w:cs="Arial"/>
          <w:sz w:val="20"/>
          <w:szCs w:val="20"/>
        </w:rPr>
        <w:t>shall be reviewed and approved by OST</w:t>
      </w:r>
      <w:proofErr w:type="gramEnd"/>
      <w:r w:rsidRPr="00B14629">
        <w:rPr>
          <w:rFonts w:ascii="Arial" w:eastAsia="Times New Roman" w:hAnsi="Arial" w:cs="Arial"/>
          <w:sz w:val="20"/>
          <w:szCs w:val="20"/>
        </w:rPr>
        <w:t xml:space="preserve">. </w:t>
      </w:r>
      <w:proofErr w:type="gramStart"/>
      <w:r w:rsidRPr="00B14629">
        <w:rPr>
          <w:rFonts w:ascii="Arial" w:eastAsia="Times New Roman" w:hAnsi="Arial" w:cs="Arial"/>
          <w:sz w:val="20"/>
          <w:szCs w:val="20"/>
        </w:rPr>
        <w:t>The aggregate value of Eligible Collateral shall equal or exceed the total average monthly closing ledger balances of State Funds held or expected to be held by Cash Management Banks during the prior month, plus such additional amount of Eligible Collateral as OST may require Cash Management Banks to provide to protect against volatility and ensure that all uninsured ledger balances are fully secured at the close of each business day.</w:t>
      </w:r>
      <w:proofErr w:type="gramEnd"/>
      <w:r w:rsidRPr="00B14629">
        <w:rPr>
          <w:rFonts w:ascii="Arial" w:eastAsia="Times New Roman" w:hAnsi="Arial" w:cs="Arial"/>
          <w:sz w:val="20"/>
          <w:szCs w:val="20"/>
        </w:rPr>
        <w:t xml:space="preserve"> Eligible Collateral in the form of government securities shall be marked to market at the close of each business day using an independent pricing service. A Cash Management Bank may substitute or reduce Eligible Collateral </w:t>
      </w:r>
      <w:proofErr w:type="gramStart"/>
      <w:r w:rsidRPr="00B14629">
        <w:rPr>
          <w:rFonts w:ascii="Arial" w:eastAsia="Times New Roman" w:hAnsi="Arial" w:cs="Arial"/>
          <w:sz w:val="20"/>
          <w:szCs w:val="20"/>
        </w:rPr>
        <w:t>provided that</w:t>
      </w:r>
      <w:proofErr w:type="gramEnd"/>
      <w:r w:rsidRPr="00B14629">
        <w:rPr>
          <w:rFonts w:ascii="Arial" w:eastAsia="Times New Roman" w:hAnsi="Arial" w:cs="Arial"/>
          <w:sz w:val="20"/>
          <w:szCs w:val="20"/>
        </w:rPr>
        <w:t xml:space="preserve"> Eligible Collateral levels meet or exceed the foregoing requirements. OST </w:t>
      </w:r>
      <w:proofErr w:type="gramStart"/>
      <w:r w:rsidRPr="00B14629">
        <w:rPr>
          <w:rFonts w:ascii="Arial" w:eastAsia="Times New Roman" w:hAnsi="Arial" w:cs="Arial"/>
          <w:sz w:val="20"/>
          <w:szCs w:val="20"/>
        </w:rPr>
        <w:t>shall be provided</w:t>
      </w:r>
      <w:proofErr w:type="gramEnd"/>
      <w:r w:rsidRPr="00B14629">
        <w:rPr>
          <w:rFonts w:ascii="Arial" w:eastAsia="Times New Roman" w:hAnsi="Arial" w:cs="Arial"/>
          <w:sz w:val="20"/>
          <w:szCs w:val="20"/>
        </w:rPr>
        <w:t xml:space="preserve"> with same-day notice of any such substitutions or reductions of Eligible Collateral. In addition, a Cash Management Bank shall provide OST with a detailed report of Eligible Collateral held in a custody account as requested by OST. </w:t>
      </w:r>
    </w:p>
    <w:p w14:paraId="75919C9D"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5.2.2 Money Market Mutual Funds. </w:t>
      </w:r>
      <w:r w:rsidRPr="00B14629">
        <w:rPr>
          <w:color w:val="000000"/>
          <w:sz w:val="20"/>
          <w:szCs w:val="20"/>
        </w:rPr>
        <w:t xml:space="preserve">State Funds held by Cash Management Banks in money market mutual funds </w:t>
      </w:r>
      <w:proofErr w:type="gramStart"/>
      <w:r w:rsidRPr="00B14629">
        <w:rPr>
          <w:color w:val="000000"/>
          <w:sz w:val="20"/>
          <w:szCs w:val="20"/>
        </w:rPr>
        <w:t>shall be invested</w:t>
      </w:r>
      <w:proofErr w:type="gramEnd"/>
      <w:r w:rsidRPr="00B14629">
        <w:rPr>
          <w:color w:val="000000"/>
          <w:sz w:val="20"/>
          <w:szCs w:val="20"/>
        </w:rPr>
        <w:t xml:space="preserve"> solely in government securities that meet the definitions set out in subsections 6.3.1 and 6.3.2 and which are rated in the highest rating category by at least one NRSRO. </w:t>
      </w:r>
    </w:p>
    <w:p w14:paraId="6E3227FF"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5.3 Call Report</w:t>
      </w:r>
      <w:r w:rsidRPr="00B14629">
        <w:rPr>
          <w:color w:val="000000"/>
          <w:sz w:val="20"/>
          <w:szCs w:val="20"/>
        </w:rPr>
        <w:t xml:space="preserve">s. Each Cash Management Bank shall provide OST with a consolidated report of condition and income, generally referred to as a “call report,” with respect to such financial institution on a quarterly basis unless such report is available publicly from the Federal Financial Institutions Examination Council’s web site or a successor agency’s website. </w:t>
      </w:r>
    </w:p>
    <w:p w14:paraId="1535504F" w14:textId="77777777" w:rsidR="00A82C1E" w:rsidRPr="00B14629" w:rsidRDefault="00A82C1E" w:rsidP="00A82C1E">
      <w:pPr>
        <w:autoSpaceDE w:val="0"/>
        <w:autoSpaceDN w:val="0"/>
        <w:adjustRightInd w:val="0"/>
        <w:rPr>
          <w:b/>
          <w:bCs/>
          <w:color w:val="000000"/>
          <w:sz w:val="20"/>
          <w:szCs w:val="20"/>
        </w:rPr>
      </w:pPr>
    </w:p>
    <w:p w14:paraId="3956A51D"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6.0 Liquidity Accounts </w:t>
      </w:r>
    </w:p>
    <w:p w14:paraId="4C092F23" w14:textId="77777777" w:rsidR="00A82C1E" w:rsidRPr="00B14629" w:rsidRDefault="00A82C1E" w:rsidP="00A82C1E">
      <w:pPr>
        <w:autoSpaceDE w:val="0"/>
        <w:autoSpaceDN w:val="0"/>
        <w:adjustRightInd w:val="0"/>
        <w:rPr>
          <w:b/>
          <w:bCs/>
          <w:color w:val="000000"/>
          <w:sz w:val="20"/>
          <w:szCs w:val="20"/>
        </w:rPr>
      </w:pPr>
    </w:p>
    <w:p w14:paraId="1762373F"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6.1 Investment Objectives</w:t>
      </w:r>
      <w:r w:rsidRPr="00B14629">
        <w:rPr>
          <w:color w:val="000000"/>
          <w:sz w:val="20"/>
          <w:szCs w:val="20"/>
        </w:rPr>
        <w:t xml:space="preserve">. The primary investment objectives of the Liquidity Accounts are to maintain the safety of State Funds while ensuring the liquidity of such funds to be drawn down to the Cash Management Banks for the support of the anticipated funding needs of the State. As variations in the State’s otherwise predictable pattern of annual collections and disbursements do occur and can be material, Liquidity Managers must be prepared to meet unanticipated liquidity demands of the State in addition to those anticipated by OST. After the achievement of those goals, the State seeks to maximize the return on such investments. </w:t>
      </w:r>
    </w:p>
    <w:p w14:paraId="2DEE2416"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6.2 Maturity Restrictions</w:t>
      </w:r>
      <w:r w:rsidRPr="00B14629">
        <w:rPr>
          <w:color w:val="000000"/>
          <w:sz w:val="20"/>
          <w:szCs w:val="20"/>
        </w:rPr>
        <w:t xml:space="preserve">. The maximum maturity for any investment of State Funds in the Liquidity Accounts shall be two years from the date of settlement. Notwithstanding the foregoing, securities identified in subsections 6.3.4, 6.3.9, and 6.3.10 that are subject to periodic reset of coupon or interest rate may have an average life not to exceed three years as measured from the date of settlement. </w:t>
      </w:r>
    </w:p>
    <w:p w14:paraId="23EB1C50"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6.3 Permissible Investments and Percentage of Account Limitations</w:t>
      </w:r>
      <w:r w:rsidRPr="00B14629">
        <w:rPr>
          <w:color w:val="000000"/>
          <w:sz w:val="20"/>
          <w:szCs w:val="20"/>
        </w:rPr>
        <w:t xml:space="preserve">. State Funds held in Liquidity Accounts </w:t>
      </w:r>
      <w:proofErr w:type="gramStart"/>
      <w:r w:rsidRPr="00B14629">
        <w:rPr>
          <w:color w:val="000000"/>
          <w:sz w:val="20"/>
          <w:szCs w:val="20"/>
        </w:rPr>
        <w:t>can be invested</w:t>
      </w:r>
      <w:proofErr w:type="gramEnd"/>
      <w:r w:rsidRPr="00B14629">
        <w:rPr>
          <w:color w:val="000000"/>
          <w:sz w:val="20"/>
          <w:szCs w:val="20"/>
        </w:rPr>
        <w:t xml:space="preserve"> solely in the types of securities set out in this subsection 6.3. Each Liquidity Manager is further subject to limit the aggregate value of State Funds invested in each type of security held in the account under such manager’s discretion to the “Percentage Limit” of such security type identified in this subsection 6.3, measured as a percentage of the total Liquidity Account value of State Funds under such manager’s discretion. </w:t>
      </w:r>
    </w:p>
    <w:p w14:paraId="0DA9E502"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6.3.1 United States Treasury Obligations </w:t>
      </w:r>
    </w:p>
    <w:p w14:paraId="49C33D31"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6.3.1.1 Definition: Bills, bonds, and notes issued by the U.S. Treasury. </w:t>
      </w:r>
    </w:p>
    <w:p w14:paraId="620F54DE" w14:textId="77777777" w:rsidR="00A82C1E" w:rsidRPr="00B14629" w:rsidRDefault="00A82C1E" w:rsidP="00A82C1E">
      <w:pPr>
        <w:ind w:left="720"/>
        <w:rPr>
          <w:color w:val="000000"/>
          <w:sz w:val="20"/>
          <w:szCs w:val="20"/>
        </w:rPr>
      </w:pPr>
      <w:r w:rsidRPr="00B14629">
        <w:rPr>
          <w:color w:val="000000"/>
          <w:sz w:val="20"/>
          <w:szCs w:val="20"/>
        </w:rPr>
        <w:t>6.3.1.2 Percentage Limit: No limit.</w:t>
      </w:r>
    </w:p>
    <w:p w14:paraId="0137C13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6.3.2 United States Government Agency Obligations </w:t>
      </w:r>
    </w:p>
    <w:p w14:paraId="52FBF20F"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6.3.2.1 Definition: Any obligation of, or obligation that </w:t>
      </w:r>
      <w:proofErr w:type="gramStart"/>
      <w:r w:rsidRPr="00B14629">
        <w:rPr>
          <w:color w:val="000000"/>
          <w:sz w:val="20"/>
          <w:szCs w:val="20"/>
        </w:rPr>
        <w:t>is insured</w:t>
      </w:r>
      <w:proofErr w:type="gramEnd"/>
      <w:r w:rsidRPr="00B14629">
        <w:rPr>
          <w:color w:val="000000"/>
          <w:sz w:val="20"/>
          <w:szCs w:val="20"/>
        </w:rPr>
        <w:t xml:space="preserve"> as to principal </w:t>
      </w:r>
    </w:p>
    <w:p w14:paraId="26820131"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and interest by, the U.S. or any agency or corporation thereof (excluding bills, bonds and notes issued by the U.S. Treasury), and any obligation and security of U.S.-sponsored enterprises, including, the Export-Import Bank of the United States, Farmers Home Administration, Federal Farm Credit Banks, Federal Home Loan Banks, Federal Home Loan Mortgage Corporation, Federal Land Banks, and the Government National Mortgage Association.</w:t>
      </w:r>
      <w:proofErr w:type="gramEnd"/>
      <w:r w:rsidRPr="00B14629">
        <w:rPr>
          <w:color w:val="000000"/>
          <w:sz w:val="20"/>
          <w:szCs w:val="20"/>
        </w:rPr>
        <w:t xml:space="preserve"> </w:t>
      </w:r>
    </w:p>
    <w:p w14:paraId="64748EA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6.3.2.2 Percentage Limit: 50% in total; 20% in any </w:t>
      </w:r>
      <w:proofErr w:type="gramStart"/>
      <w:r w:rsidRPr="00B14629">
        <w:rPr>
          <w:color w:val="000000"/>
          <w:sz w:val="20"/>
          <w:szCs w:val="20"/>
        </w:rPr>
        <w:t>one</w:t>
      </w:r>
      <w:proofErr w:type="gramEnd"/>
      <w:r w:rsidRPr="00B14629">
        <w:rPr>
          <w:color w:val="000000"/>
          <w:sz w:val="20"/>
          <w:szCs w:val="20"/>
        </w:rPr>
        <w:t xml:space="preserve"> issuer. </w:t>
      </w:r>
    </w:p>
    <w:p w14:paraId="6690FB3F"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6.3.3 Certificates of Deposit and Time Deposits </w:t>
      </w:r>
    </w:p>
    <w:p w14:paraId="63039FA3"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6.3.3.1 Definition: Certificates of deposit and time deposits denominated in U.S. dollars and issued or endorsed by either (</w:t>
      </w:r>
      <w:proofErr w:type="spellStart"/>
      <w:r w:rsidRPr="00B14629">
        <w:rPr>
          <w:color w:val="000000"/>
          <w:sz w:val="20"/>
          <w:szCs w:val="20"/>
        </w:rPr>
        <w:t>i</w:t>
      </w:r>
      <w:proofErr w:type="spellEnd"/>
      <w:r w:rsidRPr="00B14629">
        <w:rPr>
          <w:color w:val="000000"/>
          <w:sz w:val="20"/>
          <w:szCs w:val="20"/>
        </w:rPr>
        <w:t>)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w:t>
      </w:r>
      <w:proofErr w:type="gramEnd"/>
      <w:r w:rsidRPr="00B14629">
        <w:rPr>
          <w:color w:val="000000"/>
          <w:sz w:val="20"/>
          <w:szCs w:val="20"/>
        </w:rPr>
        <w:t xml:space="preserve"> Any such banking institution must have assets of not less than $100 billion and be rated not lower than A1/P-1/F1 Short Term by at least two NRSROs. </w:t>
      </w:r>
    </w:p>
    <w:p w14:paraId="1D1024CE"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6.3.3.2 Percentage Limit: 50% in total (domestic &amp; non-domestic combined); 25% in all non-domestic banking institutions; 5% in any </w:t>
      </w:r>
      <w:proofErr w:type="gramStart"/>
      <w:r w:rsidRPr="00B14629">
        <w:rPr>
          <w:color w:val="000000"/>
          <w:sz w:val="20"/>
          <w:szCs w:val="20"/>
        </w:rPr>
        <w:t>one</w:t>
      </w:r>
      <w:proofErr w:type="gramEnd"/>
      <w:r w:rsidRPr="00B14629">
        <w:rPr>
          <w:color w:val="000000"/>
          <w:sz w:val="20"/>
          <w:szCs w:val="20"/>
        </w:rPr>
        <w:t xml:space="preserve"> issuer. </w:t>
      </w:r>
    </w:p>
    <w:p w14:paraId="0F60BE97"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6.3.4 Corporate Debt Instruments </w:t>
      </w:r>
    </w:p>
    <w:p w14:paraId="0D7C72D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6.3.4.1 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w:t>
      </w:r>
      <w:proofErr w:type="gramStart"/>
      <w:r w:rsidRPr="00B14629">
        <w:rPr>
          <w:color w:val="000000"/>
          <w:sz w:val="20"/>
          <w:szCs w:val="20"/>
        </w:rPr>
        <w:t>Such securities must be rated by at least two NRSROs and (</w:t>
      </w:r>
      <w:proofErr w:type="spellStart"/>
      <w:r w:rsidRPr="00B14629">
        <w:rPr>
          <w:color w:val="000000"/>
          <w:sz w:val="20"/>
          <w:szCs w:val="20"/>
        </w:rPr>
        <w:t>i</w:t>
      </w:r>
      <w:proofErr w:type="spellEnd"/>
      <w:r w:rsidRPr="00B14629">
        <w:rPr>
          <w:color w:val="000000"/>
          <w:sz w:val="20"/>
          <w:szCs w:val="20"/>
        </w:rPr>
        <w:t>) in the case of commercial paper, must be rated not lower than "A-2" by S&amp;P, "P-2" by Moody's and “F2” by Fitch and the senior long-term debt of the issuer must be rated not lower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6.3.3.1 (in which case, any such securities will be deemed to be securities of both the corporate issuer and the banking institution for purposes of calculating the Percentage Limits set forth in subsections 6.3.4.2 and 6.3.3.2, respectively).</w:t>
      </w:r>
      <w:proofErr w:type="gramEnd"/>
      <w:r w:rsidRPr="00B14629">
        <w:rPr>
          <w:color w:val="000000"/>
          <w:sz w:val="20"/>
          <w:szCs w:val="20"/>
        </w:rPr>
        <w:t xml:space="preserve"> </w:t>
      </w:r>
    </w:p>
    <w:p w14:paraId="7A4E364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6.3.4.2 Percentage Limit: 50% in total; 25% in all non-domestic corporations; 25% in any </w:t>
      </w:r>
      <w:proofErr w:type="gramStart"/>
      <w:r w:rsidRPr="00B14629">
        <w:rPr>
          <w:color w:val="000000"/>
          <w:sz w:val="20"/>
          <w:szCs w:val="20"/>
        </w:rPr>
        <w:t>one</w:t>
      </w:r>
      <w:proofErr w:type="gramEnd"/>
      <w:r w:rsidRPr="00B14629">
        <w:rPr>
          <w:color w:val="000000"/>
          <w:sz w:val="20"/>
          <w:szCs w:val="20"/>
        </w:rPr>
        <w:t xml:space="preserve"> industry; 5% in any one issuer. </w:t>
      </w:r>
    </w:p>
    <w:p w14:paraId="25847CDC"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6.3.5 Repurchase Agreements </w:t>
      </w:r>
    </w:p>
    <w:p w14:paraId="66B6D990" w14:textId="77777777" w:rsidR="00A82C1E" w:rsidRPr="00B14629" w:rsidRDefault="00A82C1E" w:rsidP="00A82C1E">
      <w:pPr>
        <w:ind w:left="720"/>
        <w:rPr>
          <w:color w:val="000000"/>
          <w:sz w:val="20"/>
          <w:szCs w:val="20"/>
        </w:rPr>
      </w:pPr>
      <w:proofErr w:type="gramStart"/>
      <w:r w:rsidRPr="00B14629">
        <w:rPr>
          <w:color w:val="000000"/>
          <w:sz w:val="20"/>
          <w:szCs w:val="20"/>
        </w:rPr>
        <w:t>6.3.5.1 Definition: Securities permissible pursuant to subsections 6.3.1 and 6.3.2 acquired from a primary dealer designated by the NY Federal Reserve Bank, or a domestic bank which meets the definition set out in subsection 6.3.3.1, subject to a written repurchase agreement from such dealer or bank; provided that, (</w:t>
      </w:r>
      <w:proofErr w:type="spellStart"/>
      <w:r w:rsidRPr="00B14629">
        <w:rPr>
          <w:color w:val="000000"/>
          <w:sz w:val="20"/>
          <w:szCs w:val="20"/>
        </w:rPr>
        <w:t>i</w:t>
      </w:r>
      <w:proofErr w:type="spellEnd"/>
      <w:r w:rsidRPr="00B14629">
        <w:rPr>
          <w:color w:val="000000"/>
          <w:sz w:val="20"/>
          <w:szCs w:val="20"/>
        </w:rPr>
        <w:t>) in the case of securities held in book-entry form in the Federal Reserve System, all deliveries of such securities must be made through the Federal Reserve book-entry system to an account designated by the State’s custodian for such purpose and (ii); in the case of securities held in certificated form, all deliveries of such securities must be made to such address as designated by the State’s custodian.</w:t>
      </w:r>
      <w:proofErr w:type="gramEnd"/>
    </w:p>
    <w:p w14:paraId="0FC55AC2"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6.3.5.2 Percentage Limit: 50% in total; provided that any securities purchased subject to repurchase agreements shall be subject to the respective Percentage Limit for such security type as set forth in this subsection 6.3 and valued for such purposes at the lesser of fair market value and 102 percent of the maturity value of the securities pursuant to the repurchase agreement and marked-to-the-market daily as requested by the investment manager.</w:t>
      </w:r>
      <w:proofErr w:type="gramEnd"/>
      <w:r w:rsidRPr="00B14629">
        <w:rPr>
          <w:color w:val="000000"/>
          <w:sz w:val="20"/>
          <w:szCs w:val="20"/>
        </w:rPr>
        <w:t xml:space="preserve"> </w:t>
      </w:r>
    </w:p>
    <w:p w14:paraId="2137781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6.3.6 Money Market Funds </w:t>
      </w:r>
    </w:p>
    <w:p w14:paraId="68075D0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6.3.6.1 Definition: Open-end money market mutual funds that </w:t>
      </w:r>
      <w:proofErr w:type="gramStart"/>
      <w:r w:rsidRPr="00B14629">
        <w:rPr>
          <w:color w:val="000000"/>
          <w:sz w:val="20"/>
          <w:szCs w:val="20"/>
        </w:rPr>
        <w:t>are invested</w:t>
      </w:r>
      <w:proofErr w:type="gramEnd"/>
      <w:r w:rsidRPr="00B14629">
        <w:rPr>
          <w:color w:val="000000"/>
          <w:sz w:val="20"/>
          <w:szCs w:val="20"/>
        </w:rPr>
        <w:t xml:space="preserve"> solely in government securities (as defined in subsections 6.3.1 and 6.3.2) and which are rated in the highest rating category by at least one NRSRO. </w:t>
      </w:r>
    </w:p>
    <w:p w14:paraId="7D89B33B"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6.3.6.2 Percentage Limit: No limit. </w:t>
      </w:r>
    </w:p>
    <w:p w14:paraId="26ADD3C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6.3.7 Canadian Treasury Bills </w:t>
      </w:r>
    </w:p>
    <w:p w14:paraId="75A217C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6.3.7.1 Definition: Marketable securities issued by the government of Canada; </w:t>
      </w:r>
      <w:proofErr w:type="gramStart"/>
      <w:r w:rsidRPr="00B14629">
        <w:rPr>
          <w:color w:val="000000"/>
          <w:sz w:val="20"/>
          <w:szCs w:val="20"/>
        </w:rPr>
        <w:t>provided that</w:t>
      </w:r>
      <w:proofErr w:type="gramEnd"/>
      <w:r w:rsidRPr="00B14629">
        <w:rPr>
          <w:color w:val="000000"/>
          <w:sz w:val="20"/>
          <w:szCs w:val="20"/>
        </w:rPr>
        <w:t xml:space="preserve"> such securities are U.S. dollar denominated. </w:t>
      </w:r>
    </w:p>
    <w:p w14:paraId="6677777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6.3.7.2 Percentage Limit: 25% in total. </w:t>
      </w:r>
    </w:p>
    <w:p w14:paraId="102E5351"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6.3.8 Canadian Agency Securities </w:t>
      </w:r>
    </w:p>
    <w:p w14:paraId="5C3F0A6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6.3.8.1 Definition: Any obligation of any Canadian government-sponsored agency that is insured as to principal and interest by the Canadian Government; </w:t>
      </w:r>
      <w:proofErr w:type="gramStart"/>
      <w:r w:rsidRPr="00B14629">
        <w:rPr>
          <w:color w:val="000000"/>
          <w:sz w:val="20"/>
          <w:szCs w:val="20"/>
        </w:rPr>
        <w:t>provided that</w:t>
      </w:r>
      <w:proofErr w:type="gramEnd"/>
      <w:r w:rsidRPr="00B14629">
        <w:rPr>
          <w:color w:val="000000"/>
          <w:sz w:val="20"/>
          <w:szCs w:val="20"/>
        </w:rPr>
        <w:t xml:space="preserve"> the obligation is U.S. dollar denominated commercial paper having a maximum maturity of 270 days from the date of settlement. </w:t>
      </w:r>
    </w:p>
    <w:p w14:paraId="797F62F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6.3.8.2 Percentage Limit: 25% in total; 10% in any </w:t>
      </w:r>
      <w:proofErr w:type="gramStart"/>
      <w:r w:rsidRPr="00B14629">
        <w:rPr>
          <w:color w:val="000000"/>
          <w:sz w:val="20"/>
          <w:szCs w:val="20"/>
        </w:rPr>
        <w:t>one</w:t>
      </w:r>
      <w:proofErr w:type="gramEnd"/>
      <w:r w:rsidRPr="00B14629">
        <w:rPr>
          <w:color w:val="000000"/>
          <w:sz w:val="20"/>
          <w:szCs w:val="20"/>
        </w:rPr>
        <w:t xml:space="preserve"> agency. </w:t>
      </w:r>
    </w:p>
    <w:p w14:paraId="270585FD"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6.3.9 Mortgage-Backed Securities </w:t>
      </w:r>
    </w:p>
    <w:p w14:paraId="19F1FAFA"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6.3.9.1 Definition: Government National Mortgage Association (GNMA), Federal National Mortgage Association (FNMA) or Federal Home Loan Mortgage Association (FHLMC) mortgage-backed securities issued in the form of pass-</w:t>
      </w:r>
      <w:proofErr w:type="spellStart"/>
      <w:r w:rsidRPr="00B14629">
        <w:rPr>
          <w:color w:val="000000"/>
          <w:sz w:val="20"/>
          <w:szCs w:val="20"/>
        </w:rPr>
        <w:t>throughs</w:t>
      </w:r>
      <w:proofErr w:type="spellEnd"/>
      <w:r w:rsidRPr="00B14629">
        <w:rPr>
          <w:color w:val="000000"/>
          <w:sz w:val="20"/>
          <w:szCs w:val="20"/>
        </w:rPr>
        <w:t>; provided that, such securities have (</w:t>
      </w:r>
      <w:proofErr w:type="spellStart"/>
      <w:r w:rsidRPr="00B14629">
        <w:rPr>
          <w:color w:val="000000"/>
          <w:sz w:val="20"/>
          <w:szCs w:val="20"/>
        </w:rPr>
        <w:t>i</w:t>
      </w:r>
      <w:proofErr w:type="spellEnd"/>
      <w:r w:rsidRPr="00B14629">
        <w:rPr>
          <w:color w:val="000000"/>
          <w:sz w:val="20"/>
          <w:szCs w:val="20"/>
        </w:rPr>
        <w:t>) been issued and guaranteed by the US Government or Government Agency and (ii) an average life not to exceed two years from the date of settlement (unless such securities are subject to periodic reset of coupon or interest rate, in which case the average life may not exceed three years from the date of settlement).</w:t>
      </w:r>
      <w:proofErr w:type="gramEnd"/>
      <w:r w:rsidRPr="00B14629">
        <w:rPr>
          <w:color w:val="000000"/>
          <w:sz w:val="20"/>
          <w:szCs w:val="20"/>
        </w:rPr>
        <w:t xml:space="preserve"> </w:t>
      </w:r>
    </w:p>
    <w:p w14:paraId="733607E8"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6.3.9.2 Percentage Limit: 10% in total, including securities defined in subsection 6.3.10.1. </w:t>
      </w:r>
    </w:p>
    <w:p w14:paraId="7ADA4D3C"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6.3.10 Asset-Backed Securities </w:t>
      </w:r>
    </w:p>
    <w:p w14:paraId="23D1DDAD"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6.3.10.1 Definition: Securities collateralized by pools of auto loan receivables, credit card receivables, and equipment loans; provided that such securities have (</w:t>
      </w:r>
      <w:proofErr w:type="spellStart"/>
      <w:r w:rsidRPr="00B14629">
        <w:rPr>
          <w:color w:val="000000"/>
          <w:sz w:val="20"/>
          <w:szCs w:val="20"/>
        </w:rPr>
        <w:t>i</w:t>
      </w:r>
      <w:proofErr w:type="spellEnd"/>
      <w:r w:rsidRPr="00B14629">
        <w:rPr>
          <w:color w:val="000000"/>
          <w:sz w:val="20"/>
          <w:szCs w:val="20"/>
        </w:rPr>
        <w:t>) the highest credit rating from at least two NRSROs and (ii) an average life not to exceed two years from the date of settlement (unless such securities are subject to periodic reset of coupon or interest rate, in which case the average life may not exceed three years from the date of settlement).</w:t>
      </w:r>
      <w:proofErr w:type="gramEnd"/>
      <w:r w:rsidRPr="00B14629">
        <w:rPr>
          <w:color w:val="000000"/>
          <w:sz w:val="20"/>
          <w:szCs w:val="20"/>
        </w:rPr>
        <w:t xml:space="preserve"> </w:t>
      </w:r>
    </w:p>
    <w:p w14:paraId="4531F875"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6.3.10.2 Percentage Limit: 10% in total, including securities defined in subsection 6.3.9.1. </w:t>
      </w:r>
    </w:p>
    <w:p w14:paraId="29158CB4" w14:textId="77777777" w:rsidR="00A82C1E" w:rsidRPr="00B14629" w:rsidRDefault="00A82C1E" w:rsidP="00A82C1E">
      <w:pPr>
        <w:autoSpaceDE w:val="0"/>
        <w:autoSpaceDN w:val="0"/>
        <w:adjustRightInd w:val="0"/>
        <w:rPr>
          <w:b/>
          <w:bCs/>
          <w:color w:val="000000"/>
          <w:sz w:val="20"/>
          <w:szCs w:val="20"/>
        </w:rPr>
      </w:pPr>
    </w:p>
    <w:p w14:paraId="3AC393F5"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7.0 Reserve Accounts </w:t>
      </w:r>
    </w:p>
    <w:p w14:paraId="7C0FEB2D" w14:textId="77777777" w:rsidR="00A82C1E" w:rsidRPr="00B14629" w:rsidRDefault="00A82C1E" w:rsidP="00A82C1E">
      <w:pPr>
        <w:rPr>
          <w:b/>
          <w:bCs/>
          <w:color w:val="000000"/>
          <w:sz w:val="20"/>
          <w:szCs w:val="20"/>
        </w:rPr>
      </w:pPr>
    </w:p>
    <w:p w14:paraId="09BE2100" w14:textId="77777777" w:rsidR="00A82C1E" w:rsidRPr="00B14629" w:rsidRDefault="00A82C1E" w:rsidP="00A82C1E">
      <w:pPr>
        <w:rPr>
          <w:color w:val="000000"/>
          <w:sz w:val="20"/>
          <w:szCs w:val="20"/>
        </w:rPr>
      </w:pPr>
      <w:r w:rsidRPr="00B14629">
        <w:rPr>
          <w:b/>
          <w:bCs/>
          <w:color w:val="000000"/>
          <w:sz w:val="20"/>
          <w:szCs w:val="20"/>
        </w:rPr>
        <w:t xml:space="preserve">7.1 Investment Objectives. </w:t>
      </w:r>
      <w:r w:rsidRPr="00B14629">
        <w:rPr>
          <w:color w:val="000000"/>
          <w:sz w:val="20"/>
          <w:szCs w:val="20"/>
        </w:rPr>
        <w:t xml:space="preserve">The Reserve Accounts </w:t>
      </w:r>
      <w:proofErr w:type="gramStart"/>
      <w:r w:rsidRPr="00B14629">
        <w:rPr>
          <w:color w:val="000000"/>
          <w:sz w:val="20"/>
          <w:szCs w:val="20"/>
        </w:rPr>
        <w:t>have been established</w:t>
      </w:r>
      <w:proofErr w:type="gramEnd"/>
      <w:r w:rsidRPr="00B14629">
        <w:rPr>
          <w:color w:val="000000"/>
          <w:sz w:val="20"/>
          <w:szCs w:val="20"/>
        </w:rPr>
        <w:t xml:space="preserve"> to provide funding over an intermediate horizon but must be available to meet unanticipated operating requirements of the State as they arise. The primary investment objectives are to maintain the safety of and maximize the return on such funds. Liquidity of such funds is a secondary consideration, but Reserve Managers </w:t>
      </w:r>
      <w:proofErr w:type="gramStart"/>
      <w:r w:rsidRPr="00B14629">
        <w:rPr>
          <w:color w:val="000000"/>
          <w:sz w:val="20"/>
          <w:szCs w:val="20"/>
        </w:rPr>
        <w:t>are expected</w:t>
      </w:r>
      <w:proofErr w:type="gramEnd"/>
      <w:r w:rsidRPr="00B14629">
        <w:rPr>
          <w:color w:val="000000"/>
          <w:sz w:val="20"/>
          <w:szCs w:val="20"/>
        </w:rPr>
        <w:t xml:space="preserve"> to invest State Funds in a manner to mitigate losses in connection with the need to liquidate investments for unforeseen operating requirements.</w:t>
      </w:r>
    </w:p>
    <w:p w14:paraId="5E04B605"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7.2 Maturity Restrictions</w:t>
      </w:r>
      <w:r w:rsidRPr="00B14629">
        <w:rPr>
          <w:color w:val="000000"/>
          <w:sz w:val="20"/>
          <w:szCs w:val="20"/>
        </w:rPr>
        <w:t xml:space="preserve">. The maximum maturity for any investment of State Funds in the Reserve Accounts shall be ten years from the date of settlement. </w:t>
      </w:r>
    </w:p>
    <w:p w14:paraId="75C7C06B"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7.3 Permissible Investments and Percentage of Account Limitations. </w:t>
      </w:r>
      <w:r w:rsidRPr="00B14629">
        <w:rPr>
          <w:color w:val="000000"/>
          <w:sz w:val="20"/>
          <w:szCs w:val="20"/>
        </w:rPr>
        <w:t xml:space="preserve">State Funds held in Reserve Accounts </w:t>
      </w:r>
      <w:proofErr w:type="gramStart"/>
      <w:r w:rsidRPr="00B14629">
        <w:rPr>
          <w:color w:val="000000"/>
          <w:sz w:val="20"/>
          <w:szCs w:val="20"/>
        </w:rPr>
        <w:t>can be invested</w:t>
      </w:r>
      <w:proofErr w:type="gramEnd"/>
      <w:r w:rsidRPr="00B14629">
        <w:rPr>
          <w:color w:val="000000"/>
          <w:sz w:val="20"/>
          <w:szCs w:val="20"/>
        </w:rPr>
        <w:t xml:space="preserve"> solely in the types of securities set out in this subsection 7.3. Each Reserve Manager is further subject to limit the aggregate value of State Funds invested in each type of security held in the account under such manager’s discretion to the “Percentage Limit” of such security type identified in this subsection 7.3, measured as a percentage of the total Reserve Account value of State Funds under such manager’s discretion. </w:t>
      </w:r>
    </w:p>
    <w:p w14:paraId="0B2DCA9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7.3.1 United States Treasury Obligations </w:t>
      </w:r>
    </w:p>
    <w:p w14:paraId="76C12D0F"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7.3.1.1 Definition: Bills, bonds, and notes issued by the U.S. Treasury. </w:t>
      </w:r>
    </w:p>
    <w:p w14:paraId="6BEA997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7.3.1.2 Percentage Limit: No Limit. </w:t>
      </w:r>
    </w:p>
    <w:p w14:paraId="220EAF12"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7.3.2 United States Government Agency Obligations </w:t>
      </w:r>
    </w:p>
    <w:p w14:paraId="285EFF9C" w14:textId="77777777" w:rsidR="001F6180" w:rsidRPr="00B14629" w:rsidRDefault="00A82C1E" w:rsidP="001F6180">
      <w:pPr>
        <w:autoSpaceDE w:val="0"/>
        <w:autoSpaceDN w:val="0"/>
        <w:adjustRightInd w:val="0"/>
        <w:ind w:left="720"/>
        <w:rPr>
          <w:color w:val="000000"/>
          <w:sz w:val="20"/>
          <w:szCs w:val="20"/>
        </w:rPr>
      </w:pPr>
      <w:r w:rsidRPr="00B14629">
        <w:rPr>
          <w:color w:val="000000"/>
          <w:sz w:val="20"/>
          <w:szCs w:val="20"/>
        </w:rPr>
        <w:t xml:space="preserve">7.3.2.1 Definition: Any obligation of, or obligation that </w:t>
      </w:r>
      <w:proofErr w:type="gramStart"/>
      <w:r w:rsidRPr="00B14629">
        <w:rPr>
          <w:color w:val="000000"/>
          <w:sz w:val="20"/>
          <w:szCs w:val="20"/>
        </w:rPr>
        <w:t>is insured</w:t>
      </w:r>
      <w:proofErr w:type="gramEnd"/>
      <w:r w:rsidRPr="00B14629">
        <w:rPr>
          <w:color w:val="000000"/>
          <w:sz w:val="20"/>
          <w:szCs w:val="20"/>
        </w:rPr>
        <w:t xml:space="preserve"> as to principal </w:t>
      </w:r>
    </w:p>
    <w:p w14:paraId="5F80D4BE"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and interest by, the U.S. or any agency or corporation thereof (excluding bills, bonds and notes issued by the U.S. Treasury), and any obligation and security of U.S.-sponsored enterprises, including, the Export-Import Bank of the United States, Farmers Home Administration, Federal Farm Credit Banks, Federal Home Loan Banks, Federal Home Loan Mortgage Corporation, Federal Land Banks, and the Government National Mortgage Association.</w:t>
      </w:r>
      <w:proofErr w:type="gramEnd"/>
      <w:r w:rsidRPr="00B14629">
        <w:rPr>
          <w:color w:val="000000"/>
          <w:sz w:val="20"/>
          <w:szCs w:val="20"/>
        </w:rPr>
        <w:t xml:space="preserve"> </w:t>
      </w:r>
    </w:p>
    <w:p w14:paraId="6C6E6B6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7.3.2.2 Percentage Limit: 50% total; 20% in any </w:t>
      </w:r>
      <w:proofErr w:type="gramStart"/>
      <w:r w:rsidRPr="00B14629">
        <w:rPr>
          <w:color w:val="000000"/>
          <w:sz w:val="20"/>
          <w:szCs w:val="20"/>
        </w:rPr>
        <w:t>one</w:t>
      </w:r>
      <w:proofErr w:type="gramEnd"/>
      <w:r w:rsidRPr="00B14629">
        <w:rPr>
          <w:color w:val="000000"/>
          <w:sz w:val="20"/>
          <w:szCs w:val="20"/>
        </w:rPr>
        <w:t xml:space="preserve"> issuer. </w:t>
      </w:r>
    </w:p>
    <w:p w14:paraId="631ACA85"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7.3.3 Certificates of Deposit and Time Deposits </w:t>
      </w:r>
    </w:p>
    <w:p w14:paraId="15D83F70"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7.3.3.1 Definition: Certificates of deposit and time deposits denominated in U.S. dollars and issued or endorsed by either (</w:t>
      </w:r>
      <w:proofErr w:type="spellStart"/>
      <w:r w:rsidRPr="00B14629">
        <w:rPr>
          <w:color w:val="000000"/>
          <w:sz w:val="20"/>
          <w:szCs w:val="20"/>
        </w:rPr>
        <w:t>i</w:t>
      </w:r>
      <w:proofErr w:type="spellEnd"/>
      <w:r w:rsidRPr="00B14629">
        <w:rPr>
          <w:color w:val="000000"/>
          <w:sz w:val="20"/>
          <w:szCs w:val="20"/>
        </w:rPr>
        <w:t>)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w:t>
      </w:r>
      <w:proofErr w:type="gramEnd"/>
      <w:r w:rsidRPr="00B14629">
        <w:rPr>
          <w:color w:val="000000"/>
          <w:sz w:val="20"/>
          <w:szCs w:val="20"/>
        </w:rPr>
        <w:t xml:space="preserve"> Any such banking institution must have assets of not less than $100 billion and be rated not lower than A1/P-1/F1 Short Term by at least two NRSROs. </w:t>
      </w:r>
    </w:p>
    <w:p w14:paraId="24066D7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7.3.3.2 Percentage Limit: 50% in total (domestic &amp; non-domestic combined); 25% in all non-domestic banking institutions; 5% in any </w:t>
      </w:r>
      <w:proofErr w:type="gramStart"/>
      <w:r w:rsidRPr="00B14629">
        <w:rPr>
          <w:color w:val="000000"/>
          <w:sz w:val="20"/>
          <w:szCs w:val="20"/>
        </w:rPr>
        <w:t>one</w:t>
      </w:r>
      <w:proofErr w:type="gramEnd"/>
      <w:r w:rsidRPr="00B14629">
        <w:rPr>
          <w:color w:val="000000"/>
          <w:sz w:val="20"/>
          <w:szCs w:val="20"/>
        </w:rPr>
        <w:t xml:space="preserve"> issuer. </w:t>
      </w:r>
    </w:p>
    <w:p w14:paraId="25A2A73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7.3.4 Corporate Debt Instruments </w:t>
      </w:r>
    </w:p>
    <w:p w14:paraId="6BF647F7" w14:textId="77777777" w:rsidR="00A82C1E" w:rsidRPr="00B14629" w:rsidRDefault="00A82C1E" w:rsidP="00A82C1E">
      <w:pPr>
        <w:ind w:left="720"/>
        <w:rPr>
          <w:color w:val="000000"/>
          <w:sz w:val="20"/>
          <w:szCs w:val="20"/>
        </w:rPr>
      </w:pPr>
      <w:proofErr w:type="gramStart"/>
      <w:r w:rsidRPr="00B14629">
        <w:rPr>
          <w:color w:val="000000"/>
          <w:sz w:val="20"/>
          <w:szCs w:val="20"/>
        </w:rPr>
        <w:t>7.3.4.1 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provided that such securities must be rated by at least two NRSROs and (</w:t>
      </w:r>
      <w:proofErr w:type="spellStart"/>
      <w:r w:rsidRPr="00B14629">
        <w:rPr>
          <w:color w:val="000000"/>
          <w:sz w:val="20"/>
          <w:szCs w:val="20"/>
        </w:rPr>
        <w:t>i</w:t>
      </w:r>
      <w:proofErr w:type="spellEnd"/>
      <w:r w:rsidRPr="00B14629">
        <w:rPr>
          <w:color w:val="000000"/>
          <w:sz w:val="20"/>
          <w:szCs w:val="20"/>
        </w:rPr>
        <w:t>) in the case of commercial paper, must be rated not lower than "A-2" by S&amp;P, "P-2" by Moody's and “F2” by Fitch and the senior long-term debt of the issuer must be rated not lower than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7.3.3.1 (in which case, any such securities will be deemed to be securities of both the corporate issuer and the banking institution for purposes of calculating the Percentage Limits set forth in subsections 7.3.4.2 and 7.3.3.2, respectively).</w:t>
      </w:r>
      <w:proofErr w:type="gramEnd"/>
    </w:p>
    <w:p w14:paraId="6233BE2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7.3.4.2 Percentage Limit: 50% in total; 25% in all non-domestic corporations; 25% in any </w:t>
      </w:r>
      <w:proofErr w:type="gramStart"/>
      <w:r w:rsidRPr="00B14629">
        <w:rPr>
          <w:color w:val="000000"/>
          <w:sz w:val="20"/>
          <w:szCs w:val="20"/>
        </w:rPr>
        <w:t>one</w:t>
      </w:r>
      <w:proofErr w:type="gramEnd"/>
      <w:r w:rsidRPr="00B14629">
        <w:rPr>
          <w:color w:val="000000"/>
          <w:sz w:val="20"/>
          <w:szCs w:val="20"/>
        </w:rPr>
        <w:t xml:space="preserve"> industry; 5% in any one issuer. </w:t>
      </w:r>
    </w:p>
    <w:p w14:paraId="76129589" w14:textId="77777777" w:rsidR="00A82C1E" w:rsidRPr="00B14629" w:rsidRDefault="00A82C1E" w:rsidP="00A82C1E">
      <w:pPr>
        <w:autoSpaceDE w:val="0"/>
        <w:autoSpaceDN w:val="0"/>
        <w:adjustRightInd w:val="0"/>
        <w:ind w:left="360"/>
        <w:rPr>
          <w:b/>
          <w:bCs/>
          <w:color w:val="000000"/>
          <w:sz w:val="20"/>
          <w:szCs w:val="20"/>
        </w:rPr>
      </w:pPr>
      <w:r w:rsidRPr="00B14629">
        <w:rPr>
          <w:b/>
          <w:bCs/>
          <w:color w:val="000000"/>
          <w:sz w:val="20"/>
          <w:szCs w:val="20"/>
        </w:rPr>
        <w:t xml:space="preserve">7.3.5 Repurchase Agreements </w:t>
      </w:r>
    </w:p>
    <w:p w14:paraId="41FFB1E3"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7.3.5.1 Definition: Securities permissible pursuant to subsections 7.3.1 and 7.3.2 acquired from a primary dealer designated by the NY Federal Reserve Bank, or a domestic bank which meets the definition set out in subsection 7.3.3.1, subject to a written repurchase agreement from such dealer or bank; provided that, (</w:t>
      </w:r>
      <w:proofErr w:type="spellStart"/>
      <w:r w:rsidRPr="00B14629">
        <w:rPr>
          <w:color w:val="000000"/>
          <w:sz w:val="20"/>
          <w:szCs w:val="20"/>
        </w:rPr>
        <w:t>i</w:t>
      </w:r>
      <w:proofErr w:type="spellEnd"/>
      <w:r w:rsidRPr="00B14629">
        <w:rPr>
          <w:color w:val="000000"/>
          <w:sz w:val="20"/>
          <w:szCs w:val="20"/>
        </w:rPr>
        <w:t>) in the case of securities held in book-entry form in the Federal Reserve System, all deliveries of such securities must be made through the Federal Reserve book-entry system to an account designated by the State’s custodian or such purpose and (ii); in the case of securities held in certificated form, all deliveries of such securities must be made must be made to such address as designated by the State’s custodian.</w:t>
      </w:r>
      <w:proofErr w:type="gramEnd"/>
      <w:r w:rsidRPr="00B14629">
        <w:rPr>
          <w:color w:val="000000"/>
          <w:sz w:val="20"/>
          <w:szCs w:val="20"/>
        </w:rPr>
        <w:t xml:space="preserve"> </w:t>
      </w:r>
    </w:p>
    <w:p w14:paraId="09583AE5"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7.3.5.2 Percentage Limit: 50% in total; provided that any securities purchased subject to repurchase agreements shall be subject to the respective Percentage Limit for such security type as set forth in this subsection 7.3 and valued for such purposes at the lesser of fair market value and 102 percent of the maturity value of the securities pursuant to the repurchase agreement and marked-to-the-market daily as requested by the investment manager.</w:t>
      </w:r>
      <w:proofErr w:type="gramEnd"/>
      <w:r w:rsidRPr="00B14629">
        <w:rPr>
          <w:color w:val="000000"/>
          <w:sz w:val="20"/>
          <w:szCs w:val="20"/>
        </w:rPr>
        <w:t xml:space="preserve"> </w:t>
      </w:r>
    </w:p>
    <w:p w14:paraId="18D8061C"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7.3.6 Money Market Funds </w:t>
      </w:r>
    </w:p>
    <w:p w14:paraId="326F2C60"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7.3.6.1 Definition: Open-end money market mutual funds that </w:t>
      </w:r>
      <w:proofErr w:type="gramStart"/>
      <w:r w:rsidRPr="00B14629">
        <w:rPr>
          <w:color w:val="000000"/>
          <w:sz w:val="20"/>
          <w:szCs w:val="20"/>
        </w:rPr>
        <w:t>are invested</w:t>
      </w:r>
      <w:proofErr w:type="gramEnd"/>
      <w:r w:rsidRPr="00B14629">
        <w:rPr>
          <w:color w:val="000000"/>
          <w:sz w:val="20"/>
          <w:szCs w:val="20"/>
        </w:rPr>
        <w:t xml:space="preserve"> solely in government securities (as defined in subsections 7.3.1 and 7.3.2) and which are rated in the highest rating category by at least one NRSRO. </w:t>
      </w:r>
    </w:p>
    <w:p w14:paraId="6E062E4C"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7.3.6.2 Percentage Limit: 100% in total. </w:t>
      </w:r>
    </w:p>
    <w:p w14:paraId="7E2B0820"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7.3.7 Canadian Treasury Bills </w:t>
      </w:r>
    </w:p>
    <w:p w14:paraId="53E3B0D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7.3.7.1 Definition: Marketable securities issued by the government of Canada, </w:t>
      </w:r>
      <w:proofErr w:type="gramStart"/>
      <w:r w:rsidRPr="00B14629">
        <w:rPr>
          <w:color w:val="000000"/>
          <w:sz w:val="20"/>
          <w:szCs w:val="20"/>
        </w:rPr>
        <w:t>provided that</w:t>
      </w:r>
      <w:proofErr w:type="gramEnd"/>
      <w:r w:rsidRPr="00B14629">
        <w:rPr>
          <w:color w:val="000000"/>
          <w:sz w:val="20"/>
          <w:szCs w:val="20"/>
        </w:rPr>
        <w:t xml:space="preserve"> such securities are U.S. dollar denominated. </w:t>
      </w:r>
    </w:p>
    <w:p w14:paraId="6103A2EF"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7.3.7.2 Percentage Limit: 25% in total. </w:t>
      </w:r>
    </w:p>
    <w:p w14:paraId="638E9692"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7.3.8 Canadian Agency Securities </w:t>
      </w:r>
    </w:p>
    <w:p w14:paraId="70334085"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7.3.8.1 Definition: Any obligation of any Canadian government-sponsored agency that is insured as to principal and interest by the Canadian Government; </w:t>
      </w:r>
      <w:proofErr w:type="gramStart"/>
      <w:r w:rsidRPr="00B14629">
        <w:rPr>
          <w:color w:val="000000"/>
          <w:sz w:val="20"/>
          <w:szCs w:val="20"/>
        </w:rPr>
        <w:t>provided that</w:t>
      </w:r>
      <w:proofErr w:type="gramEnd"/>
      <w:r w:rsidRPr="00B14629">
        <w:rPr>
          <w:color w:val="000000"/>
          <w:sz w:val="20"/>
          <w:szCs w:val="20"/>
        </w:rPr>
        <w:t xml:space="preserve"> the obligation is U.S. dollar denominated commercial paper having a maximum maturity of 270 days from the date of settlement. </w:t>
      </w:r>
    </w:p>
    <w:p w14:paraId="793F1437"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7.3.8.2 Percentage Limit: 25% in total; 10% in any </w:t>
      </w:r>
      <w:proofErr w:type="gramStart"/>
      <w:r w:rsidRPr="00B14629">
        <w:rPr>
          <w:color w:val="000000"/>
          <w:sz w:val="20"/>
          <w:szCs w:val="20"/>
        </w:rPr>
        <w:t>one</w:t>
      </w:r>
      <w:proofErr w:type="gramEnd"/>
      <w:r w:rsidRPr="00B14629">
        <w:rPr>
          <w:color w:val="000000"/>
          <w:sz w:val="20"/>
          <w:szCs w:val="20"/>
        </w:rPr>
        <w:t xml:space="preserve"> agency. </w:t>
      </w:r>
    </w:p>
    <w:p w14:paraId="03F7836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7.3.9 Mortgage-Backed Securities </w:t>
      </w:r>
    </w:p>
    <w:p w14:paraId="497814C0"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7.3.9.1 Definition: Government National Mortgage Association (GNMA), Federal National Mortgage Association (FNMA) or Federal Home Loan Mortgage Association (FHLMC) mortgage-backed securities issued in the form of pass-</w:t>
      </w:r>
      <w:proofErr w:type="spellStart"/>
      <w:r w:rsidRPr="00B14629">
        <w:rPr>
          <w:color w:val="000000"/>
          <w:sz w:val="20"/>
          <w:szCs w:val="20"/>
        </w:rPr>
        <w:t>throughs</w:t>
      </w:r>
      <w:proofErr w:type="spellEnd"/>
      <w:r w:rsidRPr="00B14629">
        <w:rPr>
          <w:color w:val="000000"/>
          <w:sz w:val="20"/>
          <w:szCs w:val="20"/>
        </w:rPr>
        <w:t>; provided that they have (</w:t>
      </w:r>
      <w:proofErr w:type="spellStart"/>
      <w:r w:rsidRPr="00B14629">
        <w:rPr>
          <w:color w:val="000000"/>
          <w:sz w:val="20"/>
          <w:szCs w:val="20"/>
        </w:rPr>
        <w:t>i</w:t>
      </w:r>
      <w:proofErr w:type="spellEnd"/>
      <w:r w:rsidRPr="00B14629">
        <w:rPr>
          <w:color w:val="000000"/>
          <w:sz w:val="20"/>
          <w:szCs w:val="20"/>
        </w:rPr>
        <w:t xml:space="preserve">) been issued and guaranteed by the US Government or Government Agency and (ii) an average life not to exceed ten years (from the date of settlement of purchase). </w:t>
      </w:r>
    </w:p>
    <w:p w14:paraId="1EC0F4E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7.3.9.2 Percentage Limit: 10% in total, including securities defined in subsection 7.3.10.1. </w:t>
      </w:r>
    </w:p>
    <w:p w14:paraId="6B7FEBA7"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7.3.10 Asset Backed Securities </w:t>
      </w:r>
    </w:p>
    <w:p w14:paraId="2580462D"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7.3.10.1 Definition: Securities collateralized by pools of auto loan receivables, credit card receivables, and equipment loans; provided that (</w:t>
      </w:r>
      <w:proofErr w:type="spellStart"/>
      <w:r w:rsidRPr="00B14629">
        <w:rPr>
          <w:color w:val="000000"/>
          <w:sz w:val="20"/>
          <w:szCs w:val="20"/>
        </w:rPr>
        <w:t>i</w:t>
      </w:r>
      <w:proofErr w:type="spellEnd"/>
      <w:r w:rsidRPr="00B14629">
        <w:rPr>
          <w:color w:val="000000"/>
          <w:sz w:val="20"/>
          <w:szCs w:val="20"/>
        </w:rPr>
        <w:t>) such securities have the highest credit rating from the highest credit rating from at least two NRSROs and (ii) an average life not to exceed two years from the date of settlement (unless such securities are subject to periodic reset of coupon or interest rate, in which case the average life may not exceed three years from the date of settlement).</w:t>
      </w:r>
      <w:proofErr w:type="gramEnd"/>
      <w:r w:rsidRPr="00B14629">
        <w:rPr>
          <w:color w:val="000000"/>
          <w:sz w:val="20"/>
          <w:szCs w:val="20"/>
        </w:rPr>
        <w:t xml:space="preserve"> </w:t>
      </w:r>
    </w:p>
    <w:p w14:paraId="45110463" w14:textId="77777777" w:rsidR="00A82C1E" w:rsidRPr="00B14629" w:rsidRDefault="00A82C1E" w:rsidP="00A82C1E">
      <w:pPr>
        <w:ind w:left="720"/>
        <w:rPr>
          <w:color w:val="000000"/>
          <w:sz w:val="20"/>
          <w:szCs w:val="20"/>
        </w:rPr>
      </w:pPr>
      <w:r w:rsidRPr="00B14629">
        <w:rPr>
          <w:color w:val="000000"/>
          <w:sz w:val="20"/>
          <w:szCs w:val="20"/>
        </w:rPr>
        <w:t>7.3.10.2 Percentage Limit: 10% in total, including securities defined in subsection 7.3.9.1.</w:t>
      </w:r>
    </w:p>
    <w:p w14:paraId="38E23437"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7.3.11 Municipal Obligations </w:t>
      </w:r>
    </w:p>
    <w:p w14:paraId="58F9EB2F"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7.3.11.1 Definition: Taxable and tax-exempt securities issued by state and local governments and public authorities in the U.S., excluding securities issued by the State of Delaware, its local governments and public authorities; provided that such securities must be rated by at least two NRSROs and must be rated not lower than “A-” by S&amp;P, “A3” by Moody’s and “A-” by Fitch.</w:t>
      </w:r>
      <w:proofErr w:type="gramEnd"/>
      <w:r w:rsidRPr="00B14629">
        <w:rPr>
          <w:color w:val="000000"/>
          <w:sz w:val="20"/>
          <w:szCs w:val="20"/>
        </w:rPr>
        <w:t xml:space="preserve"> </w:t>
      </w:r>
    </w:p>
    <w:p w14:paraId="06C055A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7.3.11.2 Percentage Limit: 20% in total; 5% in any </w:t>
      </w:r>
      <w:proofErr w:type="gramStart"/>
      <w:r w:rsidRPr="00B14629">
        <w:rPr>
          <w:color w:val="000000"/>
          <w:sz w:val="20"/>
          <w:szCs w:val="20"/>
        </w:rPr>
        <w:t>one</w:t>
      </w:r>
      <w:proofErr w:type="gramEnd"/>
      <w:r w:rsidRPr="00B14629">
        <w:rPr>
          <w:color w:val="000000"/>
          <w:sz w:val="20"/>
          <w:szCs w:val="20"/>
        </w:rPr>
        <w:t xml:space="preserve"> issuer. </w:t>
      </w:r>
    </w:p>
    <w:p w14:paraId="1BA37B08" w14:textId="77777777" w:rsidR="00A82C1E" w:rsidRPr="00B14629" w:rsidRDefault="00A82C1E" w:rsidP="00A82C1E">
      <w:pPr>
        <w:autoSpaceDE w:val="0"/>
        <w:autoSpaceDN w:val="0"/>
        <w:adjustRightInd w:val="0"/>
        <w:rPr>
          <w:b/>
          <w:bCs/>
          <w:color w:val="000000"/>
          <w:sz w:val="20"/>
          <w:szCs w:val="20"/>
        </w:rPr>
      </w:pPr>
    </w:p>
    <w:p w14:paraId="69B3A9AF"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8.0 Endowment Accounts </w:t>
      </w:r>
    </w:p>
    <w:p w14:paraId="2C819F3A" w14:textId="77777777" w:rsidR="00A82C1E" w:rsidRPr="00B14629" w:rsidRDefault="00A82C1E" w:rsidP="00A82C1E">
      <w:pPr>
        <w:autoSpaceDE w:val="0"/>
        <w:autoSpaceDN w:val="0"/>
        <w:adjustRightInd w:val="0"/>
        <w:ind w:left="360"/>
        <w:rPr>
          <w:b/>
          <w:bCs/>
          <w:color w:val="000000"/>
          <w:sz w:val="20"/>
          <w:szCs w:val="20"/>
        </w:rPr>
      </w:pPr>
    </w:p>
    <w:p w14:paraId="03C64931"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8.1 Investment Objectives</w:t>
      </w:r>
      <w:r w:rsidRPr="00B14629">
        <w:rPr>
          <w:color w:val="000000"/>
          <w:sz w:val="20"/>
          <w:szCs w:val="20"/>
        </w:rPr>
        <w:t xml:space="preserve">. Endowment Accounts </w:t>
      </w:r>
      <w:proofErr w:type="gramStart"/>
      <w:r w:rsidRPr="00B14629">
        <w:rPr>
          <w:color w:val="000000"/>
          <w:sz w:val="20"/>
          <w:szCs w:val="20"/>
        </w:rPr>
        <w:t>are funded</w:t>
      </w:r>
      <w:proofErr w:type="gramEnd"/>
      <w:r w:rsidRPr="00B14629">
        <w:rPr>
          <w:color w:val="000000"/>
          <w:sz w:val="20"/>
          <w:szCs w:val="20"/>
        </w:rPr>
        <w:t xml:space="preserve"> with State Funds to be preserved and grown over time with a portion of the investment income and/or appreciation thereon withdrawn periodically to provide for specified legislative purposes. The primary objective of such Accounts is to create a perpetual fund whereby returns </w:t>
      </w:r>
      <w:proofErr w:type="gramStart"/>
      <w:r w:rsidRPr="00B14629">
        <w:rPr>
          <w:color w:val="000000"/>
          <w:sz w:val="20"/>
          <w:szCs w:val="20"/>
        </w:rPr>
        <w:t>are maximized</w:t>
      </w:r>
      <w:proofErr w:type="gramEnd"/>
      <w:r w:rsidRPr="00B14629">
        <w:rPr>
          <w:color w:val="000000"/>
          <w:sz w:val="20"/>
          <w:szCs w:val="20"/>
        </w:rPr>
        <w:t xml:space="preserve"> over the long term while ensuring safety of the corpus and the availability of amounts prescribed to meet the periodic liquidity requirements of the permitted withdrawals. </w:t>
      </w:r>
    </w:p>
    <w:p w14:paraId="68F29D76"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8.2 Permissible Investments and Percentage of Account Limitations</w:t>
      </w:r>
      <w:r w:rsidRPr="00B14629">
        <w:rPr>
          <w:color w:val="000000"/>
          <w:sz w:val="20"/>
          <w:szCs w:val="20"/>
        </w:rPr>
        <w:t xml:space="preserve">. State Funds held in Endowment Accounts </w:t>
      </w:r>
      <w:proofErr w:type="gramStart"/>
      <w:r w:rsidRPr="00B14629">
        <w:rPr>
          <w:color w:val="000000"/>
          <w:sz w:val="20"/>
          <w:szCs w:val="20"/>
        </w:rPr>
        <w:t>can be invested</w:t>
      </w:r>
      <w:proofErr w:type="gramEnd"/>
      <w:r w:rsidRPr="00B14629">
        <w:rPr>
          <w:color w:val="000000"/>
          <w:sz w:val="20"/>
          <w:szCs w:val="20"/>
        </w:rPr>
        <w:t xml:space="preserve"> solely in the types of securities set out in this subsection 8.2. </w:t>
      </w:r>
      <w:proofErr w:type="gramStart"/>
      <w:r w:rsidRPr="00B14629">
        <w:rPr>
          <w:color w:val="000000"/>
          <w:sz w:val="20"/>
          <w:szCs w:val="20"/>
        </w:rPr>
        <w:t>Each Endowment Manager is further subject to (</w:t>
      </w:r>
      <w:proofErr w:type="spellStart"/>
      <w:r w:rsidRPr="00B14629">
        <w:rPr>
          <w:color w:val="000000"/>
          <w:sz w:val="20"/>
          <w:szCs w:val="20"/>
        </w:rPr>
        <w:t>i</w:t>
      </w:r>
      <w:proofErr w:type="spellEnd"/>
      <w:r w:rsidRPr="00B14629">
        <w:rPr>
          <w:color w:val="000000"/>
          <w:sz w:val="20"/>
          <w:szCs w:val="20"/>
        </w:rPr>
        <w:t>) limit the aggregate value of State Funds invested in each type of security held in the account under such manager’s discretion to the “Percentage Maximum” of such security type identified in this subsection 8.2, measured as a percentage of the total account value of State Funds under such manager’s discretion, and (ii) maintain a minimum of the aggregate value of State Funds invested in each type of security held in the account under such manager’s discretion to the “Percentage Minimum” of such security type identified in this subsection 8.2, measured in each case as a percentage of the total account value of State Funds under such manager’s discretion.</w:t>
      </w:r>
      <w:proofErr w:type="gramEnd"/>
      <w:r w:rsidRPr="00B14629">
        <w:rPr>
          <w:color w:val="000000"/>
          <w:sz w:val="20"/>
          <w:szCs w:val="20"/>
        </w:rPr>
        <w:t xml:space="preserve"> </w:t>
      </w:r>
    </w:p>
    <w:p w14:paraId="3E8FAEB4"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8.2.1 Money Market Funds </w:t>
      </w:r>
    </w:p>
    <w:p w14:paraId="292E0C61"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8.2.1.1 Definition: Open-end money market mutual funds that </w:t>
      </w:r>
      <w:proofErr w:type="gramStart"/>
      <w:r w:rsidRPr="00B14629">
        <w:rPr>
          <w:color w:val="000000"/>
          <w:sz w:val="20"/>
          <w:szCs w:val="20"/>
        </w:rPr>
        <w:t>are invested</w:t>
      </w:r>
      <w:proofErr w:type="gramEnd"/>
      <w:r w:rsidRPr="00B14629">
        <w:rPr>
          <w:color w:val="000000"/>
          <w:sz w:val="20"/>
          <w:szCs w:val="20"/>
        </w:rPr>
        <w:t xml:space="preserve"> solely in government securities (as defined in subsections 6.3.1 and 6.3.2) and which are rated in the highest rating category by at least one NRSRO. </w:t>
      </w:r>
    </w:p>
    <w:p w14:paraId="669DA8AC"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8.2.1.2 Percentage Maximum: 30% in total. </w:t>
      </w:r>
    </w:p>
    <w:p w14:paraId="495CBA9B"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8.2.1.3 Percentage Minimum Limit: 5% in total. </w:t>
      </w:r>
    </w:p>
    <w:p w14:paraId="056FAA4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8.2.2 Domestic and International Equities </w:t>
      </w:r>
    </w:p>
    <w:p w14:paraId="27E3EA5E"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8.2.2.1 Definition: Common and preferred stocks of companies domiciled both within the U.S. and outside the U.S. that trade on U.S. or foreign exchanges and over the counter. Ownership in a publicly traded company, whether common or preferred, that trades on globally recognized exchanges, and issued by corporations, both foreign and domestic. </w:t>
      </w:r>
    </w:p>
    <w:p w14:paraId="6DA2CEB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8.2.2.2 Percentage Maximum: 75% in total; no more than 35% of which are in international equities. </w:t>
      </w:r>
    </w:p>
    <w:p w14:paraId="19E0657F"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8.2.2.3 Percentage Minimum: 45% in total; no more than 35% of which are in international equities. </w:t>
      </w:r>
    </w:p>
    <w:p w14:paraId="50A28317"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8.2.3 Domestic and International Fixed Income </w:t>
      </w:r>
    </w:p>
    <w:p w14:paraId="058BEDE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8.2.3.1 Definition: Debt securities of U.S. and non-U.S. governments, public agencies, corporations and other non-government entities. </w:t>
      </w:r>
    </w:p>
    <w:p w14:paraId="6432D457" w14:textId="77777777" w:rsidR="00A82C1E" w:rsidRPr="00B14629" w:rsidRDefault="00A82C1E" w:rsidP="00A82C1E">
      <w:pPr>
        <w:ind w:left="720"/>
        <w:rPr>
          <w:color w:val="000000"/>
          <w:sz w:val="20"/>
          <w:szCs w:val="20"/>
        </w:rPr>
      </w:pPr>
      <w:r w:rsidRPr="00B14629">
        <w:rPr>
          <w:color w:val="000000"/>
          <w:sz w:val="20"/>
          <w:szCs w:val="20"/>
        </w:rPr>
        <w:t>8.2.3.2 Percentage Maximum: 55% in total, including securities permitted under subsection 8.2.4.</w:t>
      </w:r>
    </w:p>
    <w:p w14:paraId="0D08FF80"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8.2.3.3 Percentage Minimum: 25% in total, including securities permitted under subsection 8.2.4. </w:t>
      </w:r>
    </w:p>
    <w:p w14:paraId="2D3E889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8.2.4 Alternative Investments </w:t>
      </w:r>
    </w:p>
    <w:p w14:paraId="530A364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8.2.4.1 Definition: Securities not otherwise permissible pursuant to subsections 8.2.1 – 8.2.3 that a prudent manager would deem appropriate for portfolios of like character with comparable investment objectives, excluding hedge funds or other blind pool funds that incorporate leverage as part of their investment strategies. </w:t>
      </w:r>
    </w:p>
    <w:p w14:paraId="49D161E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8.2.4.2 Percentage Maximum: 25% in total. </w:t>
      </w:r>
    </w:p>
    <w:p w14:paraId="00A62E38"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8.2.4.3 Percentage Minimum: none. </w:t>
      </w:r>
    </w:p>
    <w:p w14:paraId="0247D684" w14:textId="77777777" w:rsidR="00A82C1E" w:rsidRPr="00B14629" w:rsidRDefault="00A82C1E" w:rsidP="00A82C1E">
      <w:pPr>
        <w:autoSpaceDE w:val="0"/>
        <w:autoSpaceDN w:val="0"/>
        <w:adjustRightInd w:val="0"/>
        <w:rPr>
          <w:b/>
          <w:bCs/>
          <w:color w:val="000000"/>
          <w:sz w:val="20"/>
          <w:szCs w:val="20"/>
        </w:rPr>
      </w:pPr>
    </w:p>
    <w:p w14:paraId="18FD33F7"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9.0 Operating Accounts </w:t>
      </w:r>
    </w:p>
    <w:p w14:paraId="44BF3793" w14:textId="77777777" w:rsidR="00A82C1E" w:rsidRPr="00B14629" w:rsidRDefault="00A82C1E" w:rsidP="00A82C1E">
      <w:pPr>
        <w:autoSpaceDE w:val="0"/>
        <w:autoSpaceDN w:val="0"/>
        <w:adjustRightInd w:val="0"/>
        <w:rPr>
          <w:b/>
          <w:bCs/>
          <w:color w:val="000000"/>
          <w:sz w:val="20"/>
          <w:szCs w:val="20"/>
        </w:rPr>
      </w:pPr>
    </w:p>
    <w:p w14:paraId="76C3CD5D"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9.1 Investment Objectives</w:t>
      </w:r>
      <w:r w:rsidRPr="00B14629">
        <w:rPr>
          <w:color w:val="000000"/>
          <w:sz w:val="20"/>
          <w:szCs w:val="20"/>
        </w:rPr>
        <w:t xml:space="preserve">. State agencies and other public authorities maintain various operating accounts with the intent of segregating such funds for accounting and reporting purposes. In addition, operating accounts </w:t>
      </w:r>
      <w:proofErr w:type="gramStart"/>
      <w:r w:rsidRPr="00B14629">
        <w:rPr>
          <w:color w:val="000000"/>
          <w:sz w:val="20"/>
          <w:szCs w:val="20"/>
        </w:rPr>
        <w:t>may be created</w:t>
      </w:r>
      <w:proofErr w:type="gramEnd"/>
      <w:r w:rsidRPr="00B14629">
        <w:rPr>
          <w:color w:val="000000"/>
          <w:sz w:val="20"/>
          <w:szCs w:val="20"/>
        </w:rPr>
        <w:t xml:space="preserve"> by the State to meet particular purposes and/or to comply with state statutes, bond trust agreements and/or Federal guidelines. The investment objectives with respect to such funds are to ensure safety and maximize return while providing for the liquidity requirements specifically identifiable to the use of such funds. </w:t>
      </w:r>
    </w:p>
    <w:p w14:paraId="50AA71E7"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9.2 Maturity Restrictions</w:t>
      </w:r>
      <w:r w:rsidRPr="00B14629">
        <w:rPr>
          <w:color w:val="000000"/>
          <w:sz w:val="20"/>
          <w:szCs w:val="20"/>
        </w:rPr>
        <w:t xml:space="preserve">. Unless otherwise determined by the Board, the maximum maturity for any investment of State Funds in the Operating Accounts shall be two years from the date of settlement. In some circumstances, State Funds in an Operating Account may be set aside to fund a known, specific future liability; in such cases, the Board grants OST the discretion to set the maturity restrictions with respect to securities purchased with such funds to correspond to the due date of the corresponding liability. </w:t>
      </w:r>
    </w:p>
    <w:p w14:paraId="35E09458"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9.3 Permissible Investments and Percentage of Account Limitations</w:t>
      </w:r>
      <w:r w:rsidRPr="00B14629">
        <w:rPr>
          <w:color w:val="000000"/>
          <w:sz w:val="20"/>
          <w:szCs w:val="20"/>
        </w:rPr>
        <w:t xml:space="preserve">. Unless otherwise determined by the Board, Operating Accounts </w:t>
      </w:r>
      <w:proofErr w:type="gramStart"/>
      <w:r w:rsidRPr="00B14629">
        <w:rPr>
          <w:color w:val="000000"/>
          <w:sz w:val="20"/>
          <w:szCs w:val="20"/>
        </w:rPr>
        <w:t>shall be governed</w:t>
      </w:r>
      <w:proofErr w:type="gramEnd"/>
      <w:r w:rsidRPr="00B14629">
        <w:rPr>
          <w:color w:val="000000"/>
          <w:sz w:val="20"/>
          <w:szCs w:val="20"/>
        </w:rPr>
        <w:t xml:space="preserve"> by the Permissible Investment and Percentage of Account Limitations for the Liquidity Accounts set out in subsections 6.2 and 6.3. </w:t>
      </w:r>
    </w:p>
    <w:p w14:paraId="03A7BD41" w14:textId="77777777" w:rsidR="00A82C1E" w:rsidRPr="00B14629" w:rsidRDefault="00A82C1E" w:rsidP="00A82C1E">
      <w:pPr>
        <w:autoSpaceDE w:val="0"/>
        <w:autoSpaceDN w:val="0"/>
        <w:adjustRightInd w:val="0"/>
        <w:rPr>
          <w:b/>
          <w:bCs/>
          <w:color w:val="000000"/>
          <w:sz w:val="20"/>
          <w:szCs w:val="20"/>
        </w:rPr>
      </w:pPr>
    </w:p>
    <w:p w14:paraId="55140C73"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10.0 Restrictions &amp; Violations </w:t>
      </w:r>
    </w:p>
    <w:p w14:paraId="7D2E8D90" w14:textId="77777777" w:rsidR="00A82C1E" w:rsidRPr="00B14629" w:rsidRDefault="00A82C1E" w:rsidP="00A82C1E">
      <w:pPr>
        <w:autoSpaceDE w:val="0"/>
        <w:autoSpaceDN w:val="0"/>
        <w:adjustRightInd w:val="0"/>
        <w:rPr>
          <w:b/>
          <w:bCs/>
          <w:color w:val="000000"/>
          <w:sz w:val="20"/>
          <w:szCs w:val="20"/>
        </w:rPr>
      </w:pPr>
    </w:p>
    <w:p w14:paraId="7DF9BBD4"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10.1 Investment Restrictions</w:t>
      </w:r>
      <w:r w:rsidRPr="00B14629">
        <w:rPr>
          <w:color w:val="000000"/>
          <w:sz w:val="20"/>
          <w:szCs w:val="20"/>
        </w:rPr>
        <w:t xml:space="preserve">. Notwithstanding any other provision, none of the banks or managers engaged to manage or invest State Funds may: </w:t>
      </w:r>
    </w:p>
    <w:p w14:paraId="70A7B138"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10.1.1 Purchase any securities other than those expressly permitted under Sections 5.0 – 9.0 of these Guidelines</w:t>
      </w:r>
      <w:proofErr w:type="gramStart"/>
      <w:r w:rsidRPr="00B14629">
        <w:rPr>
          <w:color w:val="000000"/>
          <w:sz w:val="20"/>
          <w:szCs w:val="20"/>
        </w:rPr>
        <w:t>;</w:t>
      </w:r>
      <w:proofErr w:type="gramEnd"/>
      <w:r w:rsidRPr="00B14629">
        <w:rPr>
          <w:color w:val="000000"/>
          <w:sz w:val="20"/>
          <w:szCs w:val="20"/>
        </w:rPr>
        <w:t xml:space="preserve"> </w:t>
      </w:r>
    </w:p>
    <w:p w14:paraId="6C469F4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10.1.2 Make investments </w:t>
      </w:r>
      <w:proofErr w:type="gramStart"/>
      <w:r w:rsidRPr="00B14629">
        <w:rPr>
          <w:color w:val="000000"/>
          <w:sz w:val="20"/>
          <w:szCs w:val="20"/>
        </w:rPr>
        <w:t>for the purpose of</w:t>
      </w:r>
      <w:proofErr w:type="gramEnd"/>
      <w:r w:rsidRPr="00B14629">
        <w:rPr>
          <w:color w:val="000000"/>
          <w:sz w:val="20"/>
          <w:szCs w:val="20"/>
        </w:rPr>
        <w:t xml:space="preserve"> exercising control or management of an issuer; </w:t>
      </w:r>
    </w:p>
    <w:p w14:paraId="6C58B92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10.1.3 Purchase any securities on margin, except for use of short-term credit necessary for clearance of purchases and sales of portfolio securities</w:t>
      </w:r>
      <w:proofErr w:type="gramStart"/>
      <w:r w:rsidRPr="00B14629">
        <w:rPr>
          <w:color w:val="000000"/>
          <w:sz w:val="20"/>
          <w:szCs w:val="20"/>
        </w:rPr>
        <w:t>;</w:t>
      </w:r>
      <w:proofErr w:type="gramEnd"/>
      <w:r w:rsidRPr="00B14629">
        <w:rPr>
          <w:color w:val="000000"/>
          <w:sz w:val="20"/>
          <w:szCs w:val="20"/>
        </w:rPr>
        <w:t xml:space="preserve"> </w:t>
      </w:r>
    </w:p>
    <w:p w14:paraId="22C4426C" w14:textId="77777777" w:rsidR="00A82C1E" w:rsidRPr="00B14629" w:rsidRDefault="00A82C1E" w:rsidP="00A82C1E">
      <w:pPr>
        <w:autoSpaceDE w:val="0"/>
        <w:autoSpaceDN w:val="0"/>
        <w:adjustRightInd w:val="0"/>
        <w:ind w:left="720"/>
        <w:rPr>
          <w:color w:val="000000"/>
          <w:sz w:val="20"/>
          <w:szCs w:val="20"/>
        </w:rPr>
      </w:pPr>
      <w:proofErr w:type="gramStart"/>
      <w:r w:rsidRPr="00B14629">
        <w:rPr>
          <w:color w:val="000000"/>
          <w:sz w:val="20"/>
          <w:szCs w:val="20"/>
        </w:rPr>
        <w:t>10.1.4 Make short sales of securities or maintain a short position or write, purchase or sell puts, calls, straddles, spreads or combinations thereof;</w:t>
      </w:r>
      <w:proofErr w:type="gramEnd"/>
      <w:r w:rsidRPr="00B14629">
        <w:rPr>
          <w:color w:val="000000"/>
          <w:sz w:val="20"/>
          <w:szCs w:val="20"/>
        </w:rPr>
        <w:t xml:space="preserve"> </w:t>
      </w:r>
    </w:p>
    <w:p w14:paraId="5E34EBB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10.1.5 Make loans to other persons, other than in connection with repurchase agreements as provided herein</w:t>
      </w:r>
      <w:proofErr w:type="gramStart"/>
      <w:r w:rsidRPr="00B14629">
        <w:rPr>
          <w:color w:val="000000"/>
          <w:sz w:val="20"/>
          <w:szCs w:val="20"/>
        </w:rPr>
        <w:t>;</w:t>
      </w:r>
      <w:proofErr w:type="gramEnd"/>
      <w:r w:rsidRPr="00B14629">
        <w:rPr>
          <w:color w:val="000000"/>
          <w:sz w:val="20"/>
          <w:szCs w:val="20"/>
        </w:rPr>
        <w:t xml:space="preserve"> </w:t>
      </w:r>
    </w:p>
    <w:p w14:paraId="2F42E9E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10.1.6 Mortgage, pledge, hypothecate or in any manner transfer as security for indebtedness any securities owned or held</w:t>
      </w:r>
      <w:proofErr w:type="gramStart"/>
      <w:r w:rsidRPr="00B14629">
        <w:rPr>
          <w:color w:val="000000"/>
          <w:sz w:val="20"/>
          <w:szCs w:val="20"/>
        </w:rPr>
        <w:t>;</w:t>
      </w:r>
      <w:proofErr w:type="gramEnd"/>
      <w:r w:rsidRPr="00B14629">
        <w:rPr>
          <w:color w:val="000000"/>
          <w:sz w:val="20"/>
          <w:szCs w:val="20"/>
        </w:rPr>
        <w:t xml:space="preserve"> </w:t>
      </w:r>
    </w:p>
    <w:p w14:paraId="3514EFE8" w14:textId="77777777" w:rsidR="00A82C1E" w:rsidRPr="00B14629" w:rsidRDefault="00A82C1E" w:rsidP="00A82C1E">
      <w:pPr>
        <w:pStyle w:val="Default"/>
        <w:ind w:left="720"/>
        <w:rPr>
          <w:rFonts w:ascii="Arial" w:eastAsia="Times New Roman" w:hAnsi="Arial" w:cs="Arial"/>
          <w:sz w:val="20"/>
          <w:szCs w:val="20"/>
        </w:rPr>
      </w:pPr>
      <w:r w:rsidRPr="00B14629">
        <w:rPr>
          <w:rFonts w:ascii="Arial" w:hAnsi="Arial" w:cs="Arial"/>
          <w:sz w:val="20"/>
          <w:szCs w:val="20"/>
        </w:rPr>
        <w:t xml:space="preserve">10.1.7 Invest in securities with legal or contractual restrictions on resale or for which no readily available market exists (except for repurchase agreements or variable rate master demand notes </w:t>
      </w:r>
      <w:r w:rsidRPr="00B14629">
        <w:rPr>
          <w:rFonts w:ascii="Arial" w:eastAsia="Times New Roman" w:hAnsi="Arial" w:cs="Arial"/>
          <w:sz w:val="20"/>
          <w:szCs w:val="20"/>
        </w:rPr>
        <w:t xml:space="preserve">as provided herein and 144a private placements considered not to be illiquid, but, instead, readily marketable by issuing dealers); </w:t>
      </w:r>
    </w:p>
    <w:p w14:paraId="7F4463B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10.1.8 Act as an underwriter of securities on behalf of the State of Delaware; or </w:t>
      </w:r>
    </w:p>
    <w:p w14:paraId="7DB1FB1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10.1.9 Buy or sell any authorized investment when it is a party or any related or affiliated party in the transaction on both sides. </w:t>
      </w:r>
    </w:p>
    <w:p w14:paraId="2FFA36DC"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10.2 Purchases in Violation of Guidelines. </w:t>
      </w:r>
      <w:r w:rsidRPr="00B14629">
        <w:rPr>
          <w:color w:val="000000"/>
          <w:sz w:val="20"/>
          <w:szCs w:val="20"/>
        </w:rPr>
        <w:t xml:space="preserve">In the event that a bank or manager purchases any security that at the time of purchase violates Sections 5.0 – 9.0, the bank or manager shall remove the security from the State's portfolio as soon as possible and will bear all costs associated with the purchase and sale of such security. The bank or manager shall further ensure that the State recognizes no investment gain or loss on the purchase and sale of such security and/or shall effect such transactions as shall be necessary to eliminate any such gain or loss on the books and records of the State’s Account with such bank or manager. A bank or manager shall report immediately any such violation and the action(s) taken to correct such violation to OST. </w:t>
      </w:r>
    </w:p>
    <w:p w14:paraId="2D1774DC"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10.3 Holding Impermissible Securities Following a Downgrade. </w:t>
      </w:r>
      <w:proofErr w:type="gramStart"/>
      <w:r w:rsidRPr="00B14629">
        <w:rPr>
          <w:color w:val="000000"/>
          <w:sz w:val="20"/>
          <w:szCs w:val="20"/>
        </w:rPr>
        <w:t>In the event that a bank or manager holds any security that complied with Sections 5.0 – 9.0 at the time of purchase, but which ceases to qualify as a permissible investment as the result of a downgrade, the bank or investment manager shall remove the security from the State's portfolio immediately without any consideration as to the investment gains or losses occasioned thereby.</w:t>
      </w:r>
      <w:proofErr w:type="gramEnd"/>
      <w:r w:rsidRPr="00B14629">
        <w:rPr>
          <w:color w:val="000000"/>
          <w:sz w:val="20"/>
          <w:szCs w:val="20"/>
        </w:rPr>
        <w:t xml:space="preserve"> In such case, the State shall bear all costs associated with the purchase and sale of such security and shall recognize any investment gain or loss on such transactions on the books and records of the State’s Account with such bank or manager. A bank or manager shall report immediately any such violation and the action(s) taken to correct such violation to OST. </w:t>
      </w:r>
    </w:p>
    <w:p w14:paraId="77EAD4B7"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10.4 Holding Impermissible Securities Following a Drawdown. </w:t>
      </w:r>
      <w:r w:rsidRPr="00B14629">
        <w:rPr>
          <w:color w:val="000000"/>
          <w:sz w:val="20"/>
          <w:szCs w:val="20"/>
        </w:rPr>
        <w:t xml:space="preserve">In the event that a manager’s account exceeds the percentage of account limitations set forth in Sections 6.0 - 9.0 hereof as the result of a portfolio withdrawal, the manager shall provide to OST within two (2) business days, a detailed plan for remediation of the allocation to within the permissible percentage of account limitation. Such plan shall </w:t>
      </w:r>
      <w:proofErr w:type="gramStart"/>
      <w:r w:rsidRPr="00B14629">
        <w:rPr>
          <w:color w:val="000000"/>
          <w:sz w:val="20"/>
          <w:szCs w:val="20"/>
        </w:rPr>
        <w:t>include:</w:t>
      </w:r>
      <w:proofErr w:type="gramEnd"/>
      <w:r w:rsidRPr="00B14629">
        <w:rPr>
          <w:color w:val="000000"/>
          <w:sz w:val="20"/>
          <w:szCs w:val="20"/>
        </w:rPr>
        <w:t xml:space="preserve"> any expected pay-downs on structured securities, expected maturities and expected cash flow items. The manager and OST shall work together to determine a prudent path for remediation, with care taken to manage the overall portfolio risk and implications of any book gains or losses within the portfolio. </w:t>
      </w:r>
    </w:p>
    <w:p w14:paraId="06EF648C" w14:textId="77777777" w:rsidR="00A82C1E" w:rsidRPr="00B14629" w:rsidRDefault="00A82C1E" w:rsidP="00A82C1E">
      <w:pPr>
        <w:rPr>
          <w:color w:val="000000"/>
          <w:sz w:val="20"/>
          <w:szCs w:val="20"/>
        </w:rPr>
      </w:pPr>
      <w:r w:rsidRPr="00B14629">
        <w:rPr>
          <w:b/>
          <w:bCs/>
          <w:color w:val="000000"/>
          <w:sz w:val="20"/>
          <w:szCs w:val="20"/>
        </w:rPr>
        <w:t xml:space="preserve">10.5 Mutual or Commingled Fund Exceptions to Guidelines. </w:t>
      </w:r>
      <w:r w:rsidRPr="00B14629">
        <w:rPr>
          <w:color w:val="000000"/>
          <w:sz w:val="20"/>
          <w:szCs w:val="20"/>
        </w:rPr>
        <w:t>The Board recognizes that (</w:t>
      </w:r>
      <w:proofErr w:type="spellStart"/>
      <w:r w:rsidRPr="00B14629">
        <w:rPr>
          <w:color w:val="000000"/>
          <w:sz w:val="20"/>
          <w:szCs w:val="20"/>
        </w:rPr>
        <w:t>i</w:t>
      </w:r>
      <w:proofErr w:type="spellEnd"/>
      <w:r w:rsidRPr="00B14629">
        <w:rPr>
          <w:color w:val="000000"/>
          <w:sz w:val="20"/>
          <w:szCs w:val="20"/>
        </w:rPr>
        <w:t>) mutual funds and other types of commingled investment vehicles can provide, under some circumstances, lower costs and better diversification than can be obtained with a separately managed fund pursuing the same investment objectives and (ii) such funds cannot customize their investment policies to conform to the guidelines set out herein. In such cases, the policies of such funds shall supersede these guidelines and are exempt from the policies and restrictions specified herein.</w:t>
      </w:r>
    </w:p>
    <w:p w14:paraId="28F11046" w14:textId="77777777" w:rsidR="00A82C1E" w:rsidRPr="00B14629" w:rsidRDefault="00A82C1E" w:rsidP="00A82C1E">
      <w:pPr>
        <w:rPr>
          <w:color w:val="000000"/>
          <w:sz w:val="20"/>
          <w:szCs w:val="20"/>
        </w:rPr>
      </w:pPr>
    </w:p>
    <w:p w14:paraId="430A16DC" w14:textId="77777777" w:rsidR="00A82C1E" w:rsidRPr="00B14629" w:rsidRDefault="00A82C1E" w:rsidP="00A82C1E">
      <w:pPr>
        <w:rPr>
          <w:color w:val="000000"/>
          <w:sz w:val="20"/>
          <w:szCs w:val="20"/>
        </w:rPr>
      </w:pPr>
    </w:p>
    <w:p w14:paraId="751BD00F" w14:textId="77777777" w:rsidR="00A82C1E" w:rsidRPr="00B14629" w:rsidRDefault="00A82C1E" w:rsidP="00A82C1E">
      <w:pPr>
        <w:autoSpaceDE w:val="0"/>
        <w:autoSpaceDN w:val="0"/>
        <w:adjustRightInd w:val="0"/>
        <w:rPr>
          <w:color w:val="000000"/>
          <w:sz w:val="20"/>
          <w:szCs w:val="20"/>
        </w:rPr>
      </w:pPr>
      <w:r w:rsidRPr="00B14629">
        <w:rPr>
          <w:color w:val="000000"/>
          <w:sz w:val="20"/>
          <w:szCs w:val="20"/>
        </w:rPr>
        <w:t xml:space="preserve">Originally adopted January 18, 1982 </w:t>
      </w:r>
    </w:p>
    <w:p w14:paraId="4709BCFF" w14:textId="77777777" w:rsidR="00A82C1E" w:rsidRPr="00B14629" w:rsidRDefault="00A82C1E" w:rsidP="00A82C1E">
      <w:pPr>
        <w:autoSpaceDE w:val="0"/>
        <w:autoSpaceDN w:val="0"/>
        <w:adjustRightInd w:val="0"/>
        <w:rPr>
          <w:color w:val="000000"/>
          <w:sz w:val="20"/>
          <w:szCs w:val="20"/>
        </w:rPr>
      </w:pPr>
      <w:r w:rsidRPr="00B14629">
        <w:rPr>
          <w:color w:val="000000"/>
          <w:sz w:val="20"/>
          <w:szCs w:val="20"/>
        </w:rPr>
        <w:t xml:space="preserve">Revised December 12, 2014 </w:t>
      </w:r>
    </w:p>
    <w:p w14:paraId="5BA44BB1" w14:textId="77777777" w:rsidR="00A82C1E" w:rsidRPr="00B14629" w:rsidRDefault="00A82C1E" w:rsidP="00A82C1E">
      <w:pPr>
        <w:autoSpaceDE w:val="0"/>
        <w:autoSpaceDN w:val="0"/>
        <w:adjustRightInd w:val="0"/>
        <w:rPr>
          <w:color w:val="000000"/>
          <w:sz w:val="20"/>
          <w:szCs w:val="20"/>
        </w:rPr>
      </w:pPr>
      <w:r w:rsidRPr="00B14629">
        <w:rPr>
          <w:color w:val="000000"/>
          <w:sz w:val="20"/>
          <w:szCs w:val="20"/>
        </w:rPr>
        <w:t xml:space="preserve">Revised August 12, 2015 </w:t>
      </w:r>
    </w:p>
    <w:p w14:paraId="48F8A2F6" w14:textId="77777777" w:rsidR="00A82C1E" w:rsidRPr="00B14629" w:rsidRDefault="00A82C1E" w:rsidP="00A82C1E">
      <w:pPr>
        <w:rPr>
          <w:sz w:val="20"/>
          <w:szCs w:val="20"/>
        </w:rPr>
        <w:sectPr w:rsidR="00A82C1E" w:rsidRPr="00B14629" w:rsidSect="00AB0E98">
          <w:pgSz w:w="12240" w:h="15840" w:code="1"/>
          <w:pgMar w:top="1440" w:right="1440" w:bottom="1080" w:left="1440" w:header="144" w:footer="432" w:gutter="0"/>
          <w:cols w:space="720"/>
          <w:noEndnote/>
          <w:docGrid w:linePitch="326"/>
        </w:sectPr>
      </w:pPr>
      <w:r w:rsidRPr="00B14629">
        <w:rPr>
          <w:color w:val="000000"/>
          <w:sz w:val="20"/>
          <w:szCs w:val="20"/>
        </w:rPr>
        <w:t>Revised August 10, 2016</w:t>
      </w:r>
    </w:p>
    <w:p w14:paraId="05909329" w14:textId="77777777" w:rsidR="009279C5" w:rsidRDefault="009279C5" w:rsidP="00E841AC">
      <w:pPr>
        <w:pStyle w:val="Heading4"/>
      </w:pPr>
      <w:r>
        <w:t>Appendix</w:t>
      </w:r>
      <w:r w:rsidRPr="00DD2A68">
        <w:t xml:space="preserve"> </w:t>
      </w:r>
      <w:r w:rsidR="00A82C1E">
        <w:t>C</w:t>
      </w:r>
      <w:r>
        <w:t>:  Delaware Cash Management Architecture</w:t>
      </w:r>
    </w:p>
    <w:p w14:paraId="166A2C91" w14:textId="77777777" w:rsidR="00D1297B" w:rsidRPr="00C81250" w:rsidRDefault="00D1297B" w:rsidP="00366CD9">
      <w:r w:rsidRPr="00F41FBE">
        <w:rPr>
          <w:sz w:val="20"/>
          <w:szCs w:val="20"/>
        </w:rPr>
        <w:t>CONTRACT NUMBER:</w:t>
      </w:r>
      <w:r w:rsidRPr="00F41FBE">
        <w:rPr>
          <w:sz w:val="20"/>
          <w:szCs w:val="20"/>
        </w:rPr>
        <w:tab/>
      </w:r>
      <w:r w:rsidR="000D1E63">
        <w:rPr>
          <w:sz w:val="20"/>
          <w:szCs w:val="20"/>
        </w:rPr>
        <w:t>TRE19202-LOCALBANKS</w:t>
      </w:r>
    </w:p>
    <w:p w14:paraId="023C71A6" w14:textId="77777777" w:rsidR="000B714A" w:rsidRDefault="000B714A" w:rsidP="00366CD9">
      <w:pPr>
        <w:pStyle w:val="Heading5"/>
        <w:numPr>
          <w:ilvl w:val="0"/>
          <w:numId w:val="161"/>
        </w:numPr>
      </w:pPr>
      <w:r>
        <w:t xml:space="preserve">Appendix </w:t>
      </w:r>
      <w:r w:rsidR="00A82C1E">
        <w:t>C</w:t>
      </w:r>
      <w:r>
        <w:t>-1: Delaware’s Current Cash Management Architecture</w:t>
      </w:r>
    </w:p>
    <w:p w14:paraId="63E09EE8" w14:textId="77777777" w:rsidR="000B714A" w:rsidRDefault="000B714A">
      <w:r>
        <w:rPr>
          <w:noProof/>
        </w:rPr>
        <w:drawing>
          <wp:inline distT="0" distB="0" distL="0" distR="0" wp14:anchorId="688DDAA2" wp14:editId="250957A3">
            <wp:extent cx="8915400" cy="5186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29497" cy="5194245"/>
                    </a:xfrm>
                    <a:prstGeom prst="rect">
                      <a:avLst/>
                    </a:prstGeom>
                  </pic:spPr>
                </pic:pic>
              </a:graphicData>
            </a:graphic>
          </wp:inline>
        </w:drawing>
      </w:r>
    </w:p>
    <w:p w14:paraId="3B3D0D90" w14:textId="77777777" w:rsidR="00A82C1E" w:rsidRDefault="00A82C1E">
      <w:pPr>
        <w:rPr>
          <w:b/>
          <w:sz w:val="20"/>
          <w:szCs w:val="20"/>
        </w:rPr>
      </w:pPr>
      <w:r>
        <w:br w:type="page"/>
      </w:r>
    </w:p>
    <w:p w14:paraId="303E31A5" w14:textId="77777777" w:rsidR="000B714A" w:rsidRDefault="000B714A" w:rsidP="00366CD9">
      <w:pPr>
        <w:pStyle w:val="Heading5"/>
        <w:numPr>
          <w:ilvl w:val="0"/>
          <w:numId w:val="161"/>
        </w:numPr>
      </w:pPr>
      <w:r>
        <w:t xml:space="preserve">Appendix </w:t>
      </w:r>
      <w:r w:rsidR="00A82C1E">
        <w:t>C</w:t>
      </w:r>
      <w:r>
        <w:t>-2: Delaware’s Proposed Cash Management Architecture</w:t>
      </w:r>
    </w:p>
    <w:p w14:paraId="5D0342BC" w14:textId="77777777" w:rsidR="00A82C1E" w:rsidRDefault="00A82C1E"/>
    <w:p w14:paraId="6123FE30" w14:textId="77777777" w:rsidR="009279C5" w:rsidRDefault="00CD6D62" w:rsidP="002E77D5">
      <w:pPr>
        <w:sectPr w:rsidR="009279C5" w:rsidSect="00A82C1E">
          <w:pgSz w:w="15840" w:h="12240" w:orient="landscape" w:code="1"/>
          <w:pgMar w:top="1440" w:right="1440" w:bottom="1440" w:left="1080" w:header="144" w:footer="432" w:gutter="0"/>
          <w:cols w:space="720"/>
          <w:noEndnote/>
          <w:docGrid w:linePitch="326"/>
        </w:sectPr>
      </w:pPr>
      <w:r>
        <w:rPr>
          <w:noProof/>
        </w:rPr>
        <mc:AlternateContent>
          <mc:Choice Requires="wps">
            <w:drawing>
              <wp:anchor distT="0" distB="0" distL="114300" distR="114300" simplePos="0" relativeHeight="251694080" behindDoc="0" locked="0" layoutInCell="1" allowOverlap="1" wp14:anchorId="7273D96F" wp14:editId="616973A1">
                <wp:simplePos x="0" y="0"/>
                <wp:positionH relativeFrom="column">
                  <wp:posOffset>5181600</wp:posOffset>
                </wp:positionH>
                <wp:positionV relativeFrom="paragraph">
                  <wp:posOffset>4745990</wp:posOffset>
                </wp:positionV>
                <wp:extent cx="20288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028825" cy="419100"/>
                        </a:xfrm>
                        <a:prstGeom prst="rect">
                          <a:avLst/>
                        </a:prstGeom>
                        <a:solidFill>
                          <a:schemeClr val="lt1"/>
                        </a:solidFill>
                        <a:ln w="6350">
                          <a:solidFill>
                            <a:prstClr val="black"/>
                          </a:solidFill>
                        </a:ln>
                      </wps:spPr>
                      <wps:txbx>
                        <w:txbxContent>
                          <w:p w14:paraId="5302625E" w14:textId="77777777" w:rsidR="00E609C6" w:rsidRDefault="00E609C6">
                            <w:r>
                              <w:t>TRE19202-LOCALBANKS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3D96F" id="_x0000_t202" coordsize="21600,21600" o:spt="202" path="m,l,21600r21600,l21600,xe">
                <v:stroke joinstyle="miter"/>
                <v:path gradientshapeok="t" o:connecttype="rect"/>
              </v:shapetype>
              <v:shape id="Text Box 15" o:spid="_x0000_s1026" type="#_x0000_t202" style="position:absolute;margin-left:408pt;margin-top:373.7pt;width:159.75pt;height:33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" fillcolor="white [3201]" strokeweight=".5pt">
                <v:textbox>
                  <w:txbxContent>
                    <w:p w14:paraId="5302625E" w14:textId="77777777" w:rsidR="00E609C6" w:rsidRDefault="00E609C6">
                      <w:r>
                        <w:t>TRE19202-LOCALBANKS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585CE84" wp14:editId="19506E6E">
                <wp:simplePos x="0" y="0"/>
                <wp:positionH relativeFrom="column">
                  <wp:posOffset>5648326</wp:posOffset>
                </wp:positionH>
                <wp:positionV relativeFrom="paragraph">
                  <wp:posOffset>4260216</wp:posOffset>
                </wp:positionV>
                <wp:extent cx="419100" cy="47625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41910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24B8E8" id="_x0000_t32" coordsize="21600,21600" o:spt="32" o:oned="t" path="m,l21600,21600e" filled="f">
                <v:path arrowok="t" fillok="f" o:connecttype="none"/>
                <o:lock v:ext="edit" shapetype="t"/>
              </v:shapetype>
              <v:shape id="Straight Arrow Connector 14" o:spid="_x0000_s1026" type="#_x0000_t32" style="position:absolute;margin-left:444.75pt;margin-top:335.45pt;width:33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" strokecolor="black [3213]" strokeweight=".5pt">
                <v:stroke endarrow="block" joinstyle="miter"/>
              </v:shape>
            </w:pict>
          </mc:Fallback>
        </mc:AlternateContent>
      </w:r>
      <w:r w:rsidR="00F015F2">
        <w:rPr>
          <w:noProof/>
        </w:rPr>
        <mc:AlternateContent>
          <mc:Choice Requires="wps">
            <w:drawing>
              <wp:anchor distT="0" distB="0" distL="114300" distR="114300" simplePos="0" relativeHeight="251692032" behindDoc="0" locked="0" layoutInCell="1" allowOverlap="1" wp14:anchorId="3DA92896" wp14:editId="1D86C5EE">
                <wp:simplePos x="0" y="0"/>
                <wp:positionH relativeFrom="column">
                  <wp:posOffset>5133976</wp:posOffset>
                </wp:positionH>
                <wp:positionV relativeFrom="paragraph">
                  <wp:posOffset>3583940</wp:posOffset>
                </wp:positionV>
                <wp:extent cx="895350" cy="63817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895350" cy="638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9CFE" id="Rectangle 13" o:spid="_x0000_s1026" style="position:absolute;margin-left:404.25pt;margin-top:282.2pt;width:70.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" filled="f" strokecolor="black [3213]" strokeweight="3pt"/>
            </w:pict>
          </mc:Fallback>
        </mc:AlternateContent>
      </w:r>
      <w:r w:rsidR="007316B9">
        <w:rPr>
          <w:noProof/>
        </w:rPr>
        <mc:AlternateContent>
          <mc:Choice Requires="wps">
            <w:drawing>
              <wp:anchor distT="0" distB="0" distL="114300" distR="114300" simplePos="0" relativeHeight="251691008" behindDoc="0" locked="0" layoutInCell="1" allowOverlap="1" wp14:anchorId="56640138" wp14:editId="558F9F4E">
                <wp:simplePos x="0" y="0"/>
                <wp:positionH relativeFrom="column">
                  <wp:posOffset>4410075</wp:posOffset>
                </wp:positionH>
                <wp:positionV relativeFrom="paragraph">
                  <wp:posOffset>4174490</wp:posOffset>
                </wp:positionV>
                <wp:extent cx="3781425" cy="438150"/>
                <wp:effectExtent l="0" t="0" r="9525" b="0"/>
                <wp:wrapNone/>
                <wp:docPr id="9" name="Rectangle 9"/>
                <wp:cNvGraphicFramePr/>
                <a:graphic xmlns:a="http://schemas.openxmlformats.org/drawingml/2006/main">
                  <a:graphicData uri="http://schemas.microsoft.com/office/word/2010/wordprocessingShape">
                    <wps:wsp>
                      <wps:cNvSpPr/>
                      <wps:spPr>
                        <a:xfrm>
                          <a:off x="0" y="0"/>
                          <a:ext cx="378142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EA3CC" id="Rectangle 9" o:spid="_x0000_s1026" style="position:absolute;margin-left:347.25pt;margin-top:328.7pt;width:297.75pt;height: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" fillcolor="white [3212]" stroked="f" strokeweight="1pt"/>
            </w:pict>
          </mc:Fallback>
        </mc:AlternateContent>
      </w:r>
      <w:r w:rsidR="007316B9">
        <w:rPr>
          <w:noProof/>
        </w:rPr>
        <mc:AlternateContent>
          <mc:Choice Requires="wps">
            <w:drawing>
              <wp:anchor distT="0" distB="0" distL="114300" distR="114300" simplePos="0" relativeHeight="251689984" behindDoc="0" locked="0" layoutInCell="1" allowOverlap="1" wp14:anchorId="01DF44A3" wp14:editId="6D58D7C3">
                <wp:simplePos x="0" y="0"/>
                <wp:positionH relativeFrom="column">
                  <wp:posOffset>1247776</wp:posOffset>
                </wp:positionH>
                <wp:positionV relativeFrom="paragraph">
                  <wp:posOffset>4222115</wp:posOffset>
                </wp:positionV>
                <wp:extent cx="1943100" cy="257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943100" cy="257175"/>
                        </a:xfrm>
                        <a:prstGeom prst="rect">
                          <a:avLst/>
                        </a:prstGeom>
                        <a:solidFill>
                          <a:schemeClr val="lt1"/>
                        </a:solidFill>
                        <a:ln w="6350">
                          <a:noFill/>
                        </a:ln>
                      </wps:spPr>
                      <wps:txbx>
                        <w:txbxContent>
                          <w:p w14:paraId="03EA5B57" w14:textId="77777777" w:rsidR="00E609C6" w:rsidRDefault="00E609C6">
                            <w:r>
                              <w:t xml:space="preserve">          RFP 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F44A3" id="Text Box 8" o:spid="_x0000_s1027" type="#_x0000_t202" style="position:absolute;margin-left:98.25pt;margin-top:332.45pt;width:153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" fillcolor="white [3201]" stroked="f" strokeweight=".5pt">
                <v:textbox>
                  <w:txbxContent>
                    <w:p w14:paraId="03EA5B57" w14:textId="77777777" w:rsidR="00E609C6" w:rsidRDefault="00E609C6">
                      <w:r>
                        <w:t xml:space="preserve">          RFP Completed </w:t>
                      </w:r>
                    </w:p>
                  </w:txbxContent>
                </v:textbox>
              </v:shape>
            </w:pict>
          </mc:Fallback>
        </mc:AlternateContent>
      </w:r>
      <w:r w:rsidR="007316B9">
        <w:rPr>
          <w:noProof/>
        </w:rPr>
        <mc:AlternateContent>
          <mc:Choice Requires="wps">
            <w:drawing>
              <wp:anchor distT="0" distB="0" distL="114300" distR="114300" simplePos="0" relativeHeight="251688960" behindDoc="0" locked="0" layoutInCell="1" allowOverlap="1" wp14:anchorId="045A36AD" wp14:editId="13F0455F">
                <wp:simplePos x="0" y="0"/>
                <wp:positionH relativeFrom="column">
                  <wp:posOffset>0</wp:posOffset>
                </wp:positionH>
                <wp:positionV relativeFrom="paragraph">
                  <wp:posOffset>3612515</wp:posOffset>
                </wp:positionV>
                <wp:extent cx="4371975" cy="13239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371975" cy="1323975"/>
                        </a:xfrm>
                        <a:prstGeom prst="rect">
                          <a:avLst/>
                        </a:prstGeom>
                        <a:solidFill>
                          <a:schemeClr val="bg2">
                            <a:lumMod val="75000"/>
                            <a:alpha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D0DFC" id="Rectangle 5" o:spid="_x0000_s1026" style="position:absolute;margin-left:0;margin-top:284.45pt;width:344.25pt;height:10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" fillcolor="#bfbfbf [2414]" strokecolor="black [3213]" strokeweight="3pt">
                <v:fill opacity="32896f"/>
              </v:rect>
            </w:pict>
          </mc:Fallback>
        </mc:AlternateContent>
      </w:r>
      <w:r w:rsidR="002E77D5">
        <w:rPr>
          <w:noProof/>
        </w:rPr>
        <w:drawing>
          <wp:inline distT="0" distB="0" distL="0" distR="0" wp14:anchorId="03A1FBAC" wp14:editId="7840A4C3">
            <wp:extent cx="8001000" cy="5495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001000" cy="5495544"/>
                    </a:xfrm>
                    <a:prstGeom prst="rect">
                      <a:avLst/>
                    </a:prstGeom>
                  </pic:spPr>
                </pic:pic>
              </a:graphicData>
            </a:graphic>
          </wp:inline>
        </w:drawing>
      </w:r>
    </w:p>
    <w:p w14:paraId="3CDB53C0" w14:textId="77777777" w:rsidR="008F3049" w:rsidRDefault="008F3049" w:rsidP="00E841AC">
      <w:pPr>
        <w:pStyle w:val="Heading4"/>
      </w:pPr>
      <w:r w:rsidRPr="00366CD9">
        <w:t xml:space="preserve">Appendix </w:t>
      </w:r>
      <w:r w:rsidR="00F06E48">
        <w:t>D</w:t>
      </w:r>
      <w:r w:rsidRPr="00366CD9">
        <w:t xml:space="preserve">:  </w:t>
      </w:r>
      <w:r w:rsidR="001E3423">
        <w:t>Standard Terms and Conditions</w:t>
      </w:r>
    </w:p>
    <w:p w14:paraId="4528BE32" w14:textId="77777777" w:rsidR="008F3049" w:rsidRPr="00F41FBE" w:rsidRDefault="008F3049" w:rsidP="008F3049">
      <w:pPr>
        <w:rPr>
          <w:rFonts w:ascii="Arial Black" w:hAnsi="Arial Black"/>
          <w:b/>
          <w:sz w:val="28"/>
          <w:szCs w:val="28"/>
        </w:rPr>
      </w:pPr>
      <w:r w:rsidRPr="00F41FBE">
        <w:rPr>
          <w:sz w:val="20"/>
          <w:szCs w:val="20"/>
        </w:rPr>
        <w:t>CONTRACT NUMBER:</w:t>
      </w:r>
      <w:r w:rsidRPr="00F41FBE">
        <w:rPr>
          <w:sz w:val="20"/>
          <w:szCs w:val="20"/>
        </w:rPr>
        <w:tab/>
      </w:r>
      <w:r w:rsidR="003452DB">
        <w:rPr>
          <w:sz w:val="20"/>
          <w:szCs w:val="20"/>
        </w:rPr>
        <w:t>TRE19202-LOCALBANKS</w:t>
      </w:r>
    </w:p>
    <w:p w14:paraId="47156F03" w14:textId="77777777" w:rsidR="003F7369" w:rsidRDefault="003F7369" w:rsidP="000D42C6">
      <w:pPr>
        <w:rPr>
          <w:rFonts w:ascii="Arial Black" w:hAnsi="Arial Black"/>
          <w:b/>
          <w:sz w:val="28"/>
          <w:szCs w:val="28"/>
        </w:rPr>
      </w:pPr>
    </w:p>
    <w:p w14:paraId="1C50A0AE" w14:textId="77777777" w:rsidR="00914D13" w:rsidRPr="00D11BDA" w:rsidRDefault="00914D13" w:rsidP="00914D13">
      <w:pPr>
        <w:rPr>
          <w:sz w:val="20"/>
          <w:szCs w:val="20"/>
          <w:lang w:bidi="en-US"/>
        </w:rPr>
      </w:pPr>
      <w:r w:rsidRPr="00D11BDA">
        <w:rPr>
          <w:b/>
          <w:sz w:val="20"/>
          <w:szCs w:val="20"/>
          <w:lang w:bidi="en-US"/>
        </w:rPr>
        <w:t>STANDARD TERMS AND CONDITIONS FOR BANKING SERVICES</w:t>
      </w:r>
      <w:r w:rsidRPr="00D11BDA">
        <w:rPr>
          <w:sz w:val="20"/>
          <w:szCs w:val="20"/>
          <w:lang w:bidi="en-US"/>
        </w:rPr>
        <w:t xml:space="preserve"> </w:t>
      </w:r>
    </w:p>
    <w:p w14:paraId="5C30FDD7" w14:textId="77777777" w:rsidR="00914D13" w:rsidRPr="00D11BDA" w:rsidRDefault="00914D13" w:rsidP="00914D13">
      <w:pPr>
        <w:jc w:val="both"/>
        <w:rPr>
          <w:sz w:val="20"/>
          <w:szCs w:val="20"/>
          <w:lang w:bidi="en-US"/>
        </w:rPr>
      </w:pPr>
      <w:r w:rsidRPr="00D11BDA">
        <w:rPr>
          <w:sz w:val="20"/>
          <w:szCs w:val="20"/>
          <w:lang w:bidi="en-US"/>
        </w:rPr>
        <w:t xml:space="preserve">The following standard terms and conditions (“STCs”) shall apply to and govern any contract entered into by and between the State of Delaware (the “State” or “Delaware”), on behalf of the Delaware Cash Management Policy Board (including any successor entity, the “Board”), and a vendor (“Vendor”) selected to provide banking services.  The STCs, as may be modified by the State in its discretion, shall be deemed automatically incorporated into the terms of any banking services agreement with a Vendor (the “Agreement”) and shall control and take precedence over any contrary or inconsistent terms or conditions in the Agreement.  The Agreement shall include the STCs and all exhibits, </w:t>
      </w:r>
      <w:r w:rsidR="00E2145A" w:rsidRPr="00D11BDA">
        <w:rPr>
          <w:sz w:val="20"/>
          <w:szCs w:val="20"/>
          <w:lang w:bidi="en-US"/>
        </w:rPr>
        <w:t xml:space="preserve">and </w:t>
      </w:r>
      <w:r w:rsidRPr="00D11BDA">
        <w:rPr>
          <w:sz w:val="20"/>
          <w:szCs w:val="20"/>
          <w:lang w:bidi="en-US"/>
        </w:rPr>
        <w:t>the primary written contract between the State</w:t>
      </w:r>
      <w:r w:rsidR="00D60FC7" w:rsidRPr="00D11BDA">
        <w:rPr>
          <w:sz w:val="20"/>
          <w:szCs w:val="20"/>
          <w:lang w:bidi="en-US"/>
        </w:rPr>
        <w:t xml:space="preserve"> and the Vendor, including</w:t>
      </w:r>
      <w:r w:rsidRPr="00D11BDA">
        <w:rPr>
          <w:sz w:val="20"/>
          <w:szCs w:val="20"/>
          <w:lang w:bidi="en-US"/>
        </w:rPr>
        <w:t xml:space="preserve"> all exhibits, attachments, schedules or other documents attached to or referenced in the contract.</w:t>
      </w:r>
    </w:p>
    <w:p w14:paraId="5E86F7A5" w14:textId="77777777" w:rsidR="00914D13" w:rsidRPr="00D11BDA" w:rsidRDefault="00914D13" w:rsidP="00914D13">
      <w:pPr>
        <w:jc w:val="both"/>
        <w:rPr>
          <w:sz w:val="20"/>
          <w:szCs w:val="20"/>
          <w:lang w:bidi="en-US"/>
        </w:rPr>
      </w:pPr>
    </w:p>
    <w:p w14:paraId="7AD76D46" w14:textId="77777777" w:rsidR="00914D13" w:rsidRPr="00D11BDA" w:rsidRDefault="00914D13" w:rsidP="00914D13">
      <w:pPr>
        <w:pStyle w:val="Style2"/>
        <w:numPr>
          <w:ilvl w:val="0"/>
          <w:numId w:val="151"/>
        </w:numPr>
        <w:jc w:val="both"/>
        <w:rPr>
          <w:b/>
        </w:rPr>
      </w:pPr>
      <w:r w:rsidRPr="00D11BDA">
        <w:rPr>
          <w:b/>
        </w:rPr>
        <w:t>Services and Term.</w:t>
      </w:r>
    </w:p>
    <w:p w14:paraId="35880BB2" w14:textId="77777777" w:rsidR="00914D13" w:rsidRPr="00D11BDA" w:rsidRDefault="00914D13" w:rsidP="00914D13">
      <w:pPr>
        <w:ind w:left="360"/>
        <w:contextualSpacing/>
        <w:jc w:val="both"/>
        <w:rPr>
          <w:sz w:val="20"/>
          <w:szCs w:val="20"/>
          <w:lang w:bidi="en-US"/>
        </w:rPr>
      </w:pPr>
    </w:p>
    <w:p w14:paraId="3F35697B" w14:textId="77777777" w:rsidR="00914D13" w:rsidRPr="00D11BDA" w:rsidRDefault="00914D13" w:rsidP="00914D13">
      <w:pPr>
        <w:numPr>
          <w:ilvl w:val="1"/>
          <w:numId w:val="7"/>
        </w:numPr>
        <w:contextualSpacing/>
        <w:jc w:val="both"/>
        <w:rPr>
          <w:sz w:val="20"/>
          <w:szCs w:val="20"/>
          <w:lang w:bidi="en-US"/>
        </w:rPr>
      </w:pPr>
      <w:r w:rsidRPr="00D11BDA">
        <w:rPr>
          <w:sz w:val="20"/>
          <w:szCs w:val="20"/>
          <w:lang w:bidi="en-US"/>
        </w:rPr>
        <w:t xml:space="preserve">Vendor shall perform the services set forth on </w:t>
      </w:r>
      <w:r w:rsidRPr="00D11BDA">
        <w:rPr>
          <w:b/>
          <w:sz w:val="20"/>
          <w:szCs w:val="20"/>
          <w:lang w:bidi="en-US"/>
        </w:rPr>
        <w:t>Exhibit 1</w:t>
      </w:r>
      <w:r w:rsidRPr="00D11BDA">
        <w:rPr>
          <w:sz w:val="20"/>
          <w:szCs w:val="20"/>
          <w:lang w:bidi="en-US"/>
        </w:rPr>
        <w:t xml:space="preserve"> and such additional services or work as the State may request from time to time and for which the parties shall mutually agree (collectively, “Services”).</w:t>
      </w:r>
    </w:p>
    <w:p w14:paraId="7F1C67E6" w14:textId="77777777" w:rsidR="00914D13" w:rsidRPr="00D11BDA" w:rsidRDefault="00914D13" w:rsidP="00914D13">
      <w:pPr>
        <w:contextualSpacing/>
        <w:jc w:val="both"/>
        <w:rPr>
          <w:sz w:val="20"/>
          <w:szCs w:val="20"/>
          <w:lang w:bidi="en-US"/>
        </w:rPr>
      </w:pPr>
    </w:p>
    <w:p w14:paraId="7FCAE90C" w14:textId="77777777" w:rsidR="00914D13" w:rsidRPr="00D11BDA" w:rsidRDefault="00914D13" w:rsidP="00914D13">
      <w:pPr>
        <w:numPr>
          <w:ilvl w:val="1"/>
          <w:numId w:val="7"/>
        </w:numPr>
        <w:contextualSpacing/>
        <w:jc w:val="both"/>
        <w:rPr>
          <w:sz w:val="20"/>
          <w:szCs w:val="20"/>
          <w:lang w:bidi="en-US"/>
        </w:rPr>
      </w:pPr>
      <w:proofErr w:type="gramStart"/>
      <w:r w:rsidRPr="00D11BDA">
        <w:rPr>
          <w:sz w:val="20"/>
          <w:szCs w:val="20"/>
          <w:lang w:bidi="en-US"/>
        </w:rPr>
        <w:t>The Agreement shall have an initial term of three years from the effective date specified in the Agreement, which initial term can be extended at the State’s sole option for up to two additional two-year terms upon written notice to Vendor issued no later than 60 days prior to the expiration of the initial term or an optional term, as the case may be.</w:t>
      </w:r>
      <w:proofErr w:type="gramEnd"/>
    </w:p>
    <w:p w14:paraId="265B735D" w14:textId="77777777" w:rsidR="00914D13" w:rsidRPr="00D11BDA" w:rsidRDefault="00914D13" w:rsidP="00914D13">
      <w:pPr>
        <w:ind w:left="774"/>
        <w:contextualSpacing/>
        <w:jc w:val="both"/>
        <w:rPr>
          <w:sz w:val="20"/>
          <w:szCs w:val="20"/>
          <w:lang w:bidi="en-US"/>
        </w:rPr>
      </w:pPr>
    </w:p>
    <w:p w14:paraId="1D656FF5" w14:textId="77777777" w:rsidR="00914D13" w:rsidRPr="00D11BDA" w:rsidRDefault="00D81C21" w:rsidP="00914D13">
      <w:pPr>
        <w:numPr>
          <w:ilvl w:val="1"/>
          <w:numId w:val="7"/>
        </w:numPr>
        <w:contextualSpacing/>
        <w:jc w:val="both"/>
        <w:rPr>
          <w:sz w:val="20"/>
          <w:szCs w:val="20"/>
          <w:lang w:bidi="en-US"/>
        </w:rPr>
      </w:pPr>
      <w:r w:rsidRPr="00D11BDA">
        <w:rPr>
          <w:sz w:val="20"/>
          <w:szCs w:val="20"/>
          <w:lang w:bidi="en-US"/>
        </w:rPr>
        <w:t>O</w:t>
      </w:r>
      <w:r w:rsidR="00914D13" w:rsidRPr="00D11BDA">
        <w:rPr>
          <w:sz w:val="20"/>
          <w:szCs w:val="20"/>
          <w:lang w:bidi="en-US"/>
        </w:rPr>
        <w:t>wnership of all demand deposit or other bank or investment account</w:t>
      </w:r>
      <w:r w:rsidRPr="00D11BDA">
        <w:rPr>
          <w:sz w:val="20"/>
          <w:szCs w:val="20"/>
          <w:lang w:bidi="en-US"/>
        </w:rPr>
        <w:t>s</w:t>
      </w:r>
      <w:r w:rsidR="00914D13" w:rsidRPr="00D11BDA">
        <w:rPr>
          <w:sz w:val="20"/>
          <w:szCs w:val="20"/>
          <w:lang w:bidi="en-US"/>
        </w:rPr>
        <w:t xml:space="preserve"> containing State assets (“Account”) shall remain with the State. Vendor shall not, under any circumstances, take title to or assert an ownership interest in any Account. </w:t>
      </w:r>
    </w:p>
    <w:p w14:paraId="5784D42F" w14:textId="77777777" w:rsidR="00914D13" w:rsidRPr="00D11BDA" w:rsidRDefault="00914D13" w:rsidP="00914D13">
      <w:pPr>
        <w:ind w:left="774"/>
        <w:contextualSpacing/>
        <w:jc w:val="both"/>
        <w:rPr>
          <w:sz w:val="20"/>
          <w:szCs w:val="20"/>
          <w:lang w:bidi="en-US"/>
        </w:rPr>
      </w:pPr>
    </w:p>
    <w:p w14:paraId="1DCCE22C" w14:textId="77777777" w:rsidR="00914D13" w:rsidRPr="00D11BDA" w:rsidRDefault="00914D13" w:rsidP="00914D13">
      <w:pPr>
        <w:numPr>
          <w:ilvl w:val="1"/>
          <w:numId w:val="7"/>
        </w:numPr>
        <w:contextualSpacing/>
        <w:jc w:val="both"/>
        <w:rPr>
          <w:sz w:val="20"/>
          <w:szCs w:val="20"/>
          <w:lang w:bidi="en-US"/>
        </w:rPr>
      </w:pPr>
      <w:r w:rsidRPr="00D11BDA">
        <w:rPr>
          <w:sz w:val="20"/>
          <w:szCs w:val="20"/>
          <w:lang w:bidi="en-US"/>
        </w:rPr>
        <w:t xml:space="preserve">Upon execution of the Agreement, the State shall provide Vendor with a list of authorized personnel (“Authorized Persons”) who </w:t>
      </w:r>
      <w:proofErr w:type="gramStart"/>
      <w:r w:rsidRPr="00D11BDA">
        <w:rPr>
          <w:sz w:val="20"/>
          <w:szCs w:val="20"/>
          <w:lang w:bidi="en-US"/>
        </w:rPr>
        <w:t>will be permitted</w:t>
      </w:r>
      <w:proofErr w:type="gramEnd"/>
      <w:r w:rsidRPr="00D11BDA">
        <w:rPr>
          <w:sz w:val="20"/>
          <w:szCs w:val="20"/>
          <w:lang w:bidi="en-US"/>
        </w:rPr>
        <w:t xml:space="preserve"> to advise, inform and direct Vendor on the State</w:t>
      </w:r>
      <w:r w:rsidR="00D81C21" w:rsidRPr="00D11BDA">
        <w:rPr>
          <w:sz w:val="20"/>
          <w:szCs w:val="20"/>
          <w:lang w:bidi="en-US"/>
        </w:rPr>
        <w:t xml:space="preserve">’s behalf and signature specimens of </w:t>
      </w:r>
      <w:r w:rsidRPr="00D11BDA">
        <w:rPr>
          <w:sz w:val="20"/>
          <w:szCs w:val="20"/>
          <w:lang w:bidi="en-US"/>
        </w:rPr>
        <w:t>Authorized Persons who are authorized to execute specific tasks.  The State shall notify Vendor of any changes to such list in writing. Until notified of a change, Vendor may rely and act upon instructions and notices received from an Authorized Person identified on the then-current list furnished by the State. Vendor may request a current list at any time. All instructions or notices to Vendor from any Authorized Person shall be in writing and transmitted via electronic mail containing a PDF or other electronic copy of an instruction form or notice signed by an Authorized Person. All such authorized instructions or notices shall bind Vendor upon receipt. If Vendor receives instructions or notices from a source other than an Authorized Person, Vendor shall not comply with them and shall immediately notify the State of such unauthorized instructions or notices.</w:t>
      </w:r>
    </w:p>
    <w:p w14:paraId="580D7651" w14:textId="77777777" w:rsidR="00914D13" w:rsidRPr="00D11BDA" w:rsidRDefault="00914D13" w:rsidP="00914D13">
      <w:pPr>
        <w:ind w:left="270"/>
        <w:jc w:val="both"/>
        <w:rPr>
          <w:sz w:val="20"/>
          <w:szCs w:val="20"/>
          <w:lang w:bidi="en-US"/>
        </w:rPr>
      </w:pPr>
    </w:p>
    <w:p w14:paraId="1780F472" w14:textId="77777777" w:rsidR="00914D13" w:rsidRPr="00D11BDA" w:rsidRDefault="00914D13" w:rsidP="00914D13">
      <w:pPr>
        <w:numPr>
          <w:ilvl w:val="1"/>
          <w:numId w:val="7"/>
        </w:numPr>
        <w:contextualSpacing/>
        <w:jc w:val="both"/>
        <w:rPr>
          <w:sz w:val="20"/>
          <w:szCs w:val="20"/>
          <w:lang w:bidi="en-US"/>
        </w:rPr>
      </w:pPr>
      <w:r w:rsidRPr="00D11BDA">
        <w:rPr>
          <w:sz w:val="20"/>
          <w:szCs w:val="20"/>
          <w:lang w:bidi="en-US"/>
        </w:rPr>
        <w:t>Vendor shall meet with the State at such times and places as the State may reasonably request.  Vendor shall regularly consult with the State and its staff to provide full information regarding the Services. This interface shall include regular telephone communication, exchange of written data and analysis and other interaction as requested by the State.</w:t>
      </w:r>
    </w:p>
    <w:p w14:paraId="492E65EC" w14:textId="77777777" w:rsidR="00914D13" w:rsidRPr="00D11BDA" w:rsidRDefault="00914D13" w:rsidP="00914D13">
      <w:pPr>
        <w:ind w:left="720"/>
        <w:rPr>
          <w:sz w:val="20"/>
          <w:szCs w:val="20"/>
          <w:lang w:bidi="en-US"/>
        </w:rPr>
      </w:pPr>
    </w:p>
    <w:p w14:paraId="1408E488" w14:textId="77777777" w:rsidR="00914D13" w:rsidRPr="00D11BDA" w:rsidRDefault="00914D13" w:rsidP="00914D13">
      <w:pPr>
        <w:numPr>
          <w:ilvl w:val="0"/>
          <w:numId w:val="7"/>
        </w:numPr>
        <w:contextualSpacing/>
        <w:jc w:val="both"/>
        <w:rPr>
          <w:b/>
          <w:sz w:val="20"/>
          <w:szCs w:val="20"/>
          <w:lang w:bidi="en-US"/>
        </w:rPr>
      </w:pPr>
      <w:r w:rsidRPr="00D11BDA">
        <w:rPr>
          <w:b/>
          <w:bCs/>
          <w:sz w:val="20"/>
          <w:szCs w:val="20"/>
          <w:lang w:bidi="en-US"/>
        </w:rPr>
        <w:t>Payment for Services and Expenses.</w:t>
      </w:r>
    </w:p>
    <w:p w14:paraId="3433E80F" w14:textId="77777777" w:rsidR="00914D13" w:rsidRPr="00D11BDA" w:rsidRDefault="00914D13" w:rsidP="00914D13">
      <w:pPr>
        <w:ind w:left="792"/>
        <w:contextualSpacing/>
        <w:jc w:val="both"/>
        <w:rPr>
          <w:sz w:val="20"/>
          <w:szCs w:val="20"/>
          <w:lang w:bidi="en-US"/>
        </w:rPr>
      </w:pPr>
    </w:p>
    <w:p w14:paraId="465A5932"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The State will pay Vendor for the performance of Services in accordance with the schedule of fees set out on </w:t>
      </w:r>
      <w:r w:rsidRPr="00D11BDA">
        <w:rPr>
          <w:b/>
          <w:sz w:val="20"/>
          <w:szCs w:val="20"/>
          <w:lang w:bidi="en-US"/>
        </w:rPr>
        <w:t>Exhibit 2</w:t>
      </w:r>
      <w:r w:rsidRPr="00D11BDA">
        <w:rPr>
          <w:sz w:val="20"/>
          <w:szCs w:val="20"/>
          <w:lang w:bidi="en-US"/>
        </w:rPr>
        <w:t xml:space="preserve">. All Vendor payments </w:t>
      </w:r>
      <w:proofErr w:type="gramStart"/>
      <w:r w:rsidRPr="00D11BDA">
        <w:rPr>
          <w:sz w:val="20"/>
          <w:szCs w:val="20"/>
          <w:lang w:bidi="en-US"/>
        </w:rPr>
        <w:t>shall be made</w:t>
      </w:r>
      <w:proofErr w:type="gramEnd"/>
      <w:r w:rsidRPr="00D11BDA">
        <w:rPr>
          <w:sz w:val="20"/>
          <w:szCs w:val="20"/>
          <w:lang w:bidi="en-US"/>
        </w:rPr>
        <w:t xml:space="preserve"> via ACH transfer. Vendor is responsible for ensuring that the State has correct, up-to-date ACH information and otherwise complying with the State Division of Accounting’s vendor requirements annexed to </w:t>
      </w:r>
      <w:r w:rsidRPr="00D11BDA">
        <w:rPr>
          <w:b/>
          <w:sz w:val="20"/>
          <w:szCs w:val="20"/>
          <w:lang w:bidi="en-US"/>
        </w:rPr>
        <w:t>Exhibit 2</w:t>
      </w:r>
      <w:r w:rsidRPr="00D11BDA">
        <w:rPr>
          <w:sz w:val="20"/>
          <w:szCs w:val="20"/>
          <w:lang w:bidi="en-US"/>
        </w:rPr>
        <w:t>.</w:t>
      </w:r>
    </w:p>
    <w:p w14:paraId="131CB386" w14:textId="77777777" w:rsidR="00914D13" w:rsidRPr="00D11BDA" w:rsidRDefault="00914D13" w:rsidP="00914D13">
      <w:pPr>
        <w:ind w:left="792" w:hanging="684"/>
        <w:contextualSpacing/>
        <w:jc w:val="both"/>
        <w:rPr>
          <w:sz w:val="20"/>
          <w:szCs w:val="20"/>
          <w:lang w:bidi="en-US"/>
        </w:rPr>
      </w:pPr>
    </w:p>
    <w:p w14:paraId="4F1FE5C8"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State’s obligation to pay Vendor for the performance of Services will not exceed the fee amounts set out on </w:t>
      </w:r>
      <w:r w:rsidRPr="00D11BDA">
        <w:rPr>
          <w:b/>
          <w:sz w:val="20"/>
          <w:szCs w:val="20"/>
          <w:lang w:bidi="en-US"/>
        </w:rPr>
        <w:t>Exhibit 2</w:t>
      </w:r>
      <w:r w:rsidRPr="00D11BDA">
        <w:rPr>
          <w:sz w:val="20"/>
          <w:szCs w:val="20"/>
          <w:lang w:bidi="en-US"/>
        </w:rPr>
        <w:t xml:space="preserve">, nor will the State pay Vendor for the performance of any Service not listed on </w:t>
      </w:r>
      <w:r w:rsidRPr="00D11BDA">
        <w:rPr>
          <w:b/>
          <w:sz w:val="20"/>
          <w:szCs w:val="20"/>
          <w:lang w:bidi="en-US"/>
        </w:rPr>
        <w:t>Exhibit 2</w:t>
      </w:r>
      <w:r w:rsidR="00B2473B" w:rsidRPr="00D11BDA">
        <w:rPr>
          <w:sz w:val="20"/>
          <w:szCs w:val="20"/>
          <w:lang w:bidi="en-US"/>
        </w:rPr>
        <w:t xml:space="preserve"> absent the State’s consent</w:t>
      </w:r>
      <w:r w:rsidRPr="00D11BDA">
        <w:rPr>
          <w:sz w:val="20"/>
          <w:szCs w:val="20"/>
          <w:lang w:bidi="en-US"/>
        </w:rPr>
        <w:t xml:space="preserve">. It is expressly understood that </w:t>
      </w:r>
      <w:proofErr w:type="gramStart"/>
      <w:r w:rsidRPr="00D11BDA">
        <w:rPr>
          <w:sz w:val="20"/>
          <w:szCs w:val="20"/>
          <w:lang w:bidi="en-US"/>
        </w:rPr>
        <w:t>the Services must be completed by Vendor</w:t>
      </w:r>
      <w:proofErr w:type="gramEnd"/>
      <w:r w:rsidRPr="00D11BDA">
        <w:rPr>
          <w:sz w:val="20"/>
          <w:szCs w:val="20"/>
          <w:lang w:bidi="en-US"/>
        </w:rPr>
        <w:t xml:space="preserve"> and it shall be Vendor’s responsibility to ensure sufficient competency and efficiency so that all Servic</w:t>
      </w:r>
      <w:r w:rsidR="00B466DA" w:rsidRPr="00D11BDA">
        <w:rPr>
          <w:sz w:val="20"/>
          <w:szCs w:val="20"/>
          <w:lang w:bidi="en-US"/>
        </w:rPr>
        <w:t>es are completed for the agreed-</w:t>
      </w:r>
      <w:r w:rsidRPr="00D11BDA">
        <w:rPr>
          <w:sz w:val="20"/>
          <w:szCs w:val="20"/>
          <w:lang w:bidi="en-US"/>
        </w:rPr>
        <w:t>upon fees.</w:t>
      </w:r>
    </w:p>
    <w:p w14:paraId="15BF1C26" w14:textId="77777777" w:rsidR="00914D13" w:rsidRPr="00D11BDA" w:rsidRDefault="00914D13" w:rsidP="00914D13">
      <w:pPr>
        <w:ind w:left="720" w:hanging="684"/>
        <w:contextualSpacing/>
        <w:jc w:val="both"/>
        <w:rPr>
          <w:sz w:val="20"/>
          <w:szCs w:val="20"/>
          <w:lang w:bidi="en-US"/>
        </w:rPr>
      </w:pPr>
    </w:p>
    <w:p w14:paraId="5FA7A642" w14:textId="77777777" w:rsidR="00914D13" w:rsidRPr="00D11BDA" w:rsidRDefault="00914D13" w:rsidP="00914D13">
      <w:pPr>
        <w:numPr>
          <w:ilvl w:val="1"/>
          <w:numId w:val="7"/>
        </w:numPr>
        <w:ind w:left="1170" w:hanging="720"/>
        <w:contextualSpacing/>
        <w:jc w:val="both"/>
        <w:rPr>
          <w:sz w:val="20"/>
          <w:szCs w:val="20"/>
          <w:lang w:bidi="en-US"/>
        </w:rPr>
      </w:pPr>
      <w:r w:rsidRPr="00D11BDA">
        <w:rPr>
          <w:sz w:val="20"/>
          <w:szCs w:val="20"/>
          <w:lang w:bidi="en-US"/>
        </w:rPr>
        <w:t xml:space="preserve">Vendor shall electronically submit monthly invoices to the State in sufficient detail to identify the Services provided and fees incurred during the previous month.  </w:t>
      </w:r>
      <w:r w:rsidR="004E2A77" w:rsidRPr="00D11BDA">
        <w:rPr>
          <w:sz w:val="20"/>
          <w:szCs w:val="20"/>
          <w:lang w:bidi="en-US"/>
        </w:rPr>
        <w:t>If applicable, i</w:t>
      </w:r>
      <w:r w:rsidRPr="00D11BDA">
        <w:rPr>
          <w:sz w:val="20"/>
          <w:szCs w:val="20"/>
          <w:lang w:bidi="en-US"/>
        </w:rPr>
        <w:t>nvoices will also clearly show an</w:t>
      </w:r>
      <w:r w:rsidR="004E2A77" w:rsidRPr="00D11BDA">
        <w:rPr>
          <w:sz w:val="20"/>
          <w:szCs w:val="20"/>
          <w:lang w:bidi="en-US"/>
        </w:rPr>
        <w:t>y earnings credit generated on A</w:t>
      </w:r>
      <w:r w:rsidRPr="00D11BDA">
        <w:rPr>
          <w:sz w:val="20"/>
          <w:szCs w:val="20"/>
          <w:lang w:bidi="en-US"/>
        </w:rPr>
        <w:t xml:space="preserve">ccount balances. Vendor shall make available all such invoices on an online platform.  In the event </w:t>
      </w:r>
      <w:r w:rsidRPr="00D11BDA">
        <w:rPr>
          <w:sz w:val="20"/>
          <w:szCs w:val="20"/>
        </w:rPr>
        <w:t xml:space="preserve">the State </w:t>
      </w:r>
      <w:r w:rsidRPr="00D11BDA">
        <w:rPr>
          <w:sz w:val="20"/>
          <w:szCs w:val="20"/>
          <w:lang w:bidi="en-US"/>
        </w:rPr>
        <w:t xml:space="preserve">disputes all or any portion of an invoice, the State agrees to provide Vendor with a detailed statement of the State’s position on the invoice, or the disputed portion of the invoice, within </w:t>
      </w:r>
      <w:proofErr w:type="gramStart"/>
      <w:r w:rsidRPr="00D11BDA">
        <w:rPr>
          <w:sz w:val="20"/>
          <w:szCs w:val="20"/>
          <w:lang w:bidi="en-US"/>
        </w:rPr>
        <w:t>thirty (30) days</w:t>
      </w:r>
      <w:proofErr w:type="gramEnd"/>
      <w:r w:rsidRPr="00D11BDA">
        <w:rPr>
          <w:sz w:val="20"/>
          <w:szCs w:val="20"/>
          <w:lang w:bidi="en-US"/>
        </w:rPr>
        <w:t xml:space="preserve"> from the date the invoice is made available o</w:t>
      </w:r>
      <w:r w:rsidR="004E2A77" w:rsidRPr="00D11BDA">
        <w:rPr>
          <w:sz w:val="20"/>
          <w:szCs w:val="20"/>
          <w:lang w:bidi="en-US"/>
        </w:rPr>
        <w:t xml:space="preserve">n the online platform. The State </w:t>
      </w:r>
      <w:r w:rsidRPr="00D11BDA">
        <w:rPr>
          <w:sz w:val="20"/>
          <w:szCs w:val="20"/>
          <w:lang w:bidi="en-US"/>
        </w:rPr>
        <w:t xml:space="preserve">shall pay Vendor’s invoices on a quarterly basis. All undisputed charges </w:t>
      </w:r>
      <w:proofErr w:type="gramStart"/>
      <w:r w:rsidRPr="00D11BDA">
        <w:rPr>
          <w:sz w:val="20"/>
          <w:szCs w:val="20"/>
          <w:lang w:bidi="en-US"/>
        </w:rPr>
        <w:t>shall be paid</w:t>
      </w:r>
      <w:proofErr w:type="gramEnd"/>
      <w:r w:rsidRPr="00D11BDA">
        <w:rPr>
          <w:sz w:val="20"/>
          <w:szCs w:val="20"/>
          <w:lang w:bidi="en-US"/>
        </w:rPr>
        <w:t xml:space="preserve"> within thirty (30) days after the close of each quarter.</w:t>
      </w:r>
    </w:p>
    <w:p w14:paraId="3DA2249E" w14:textId="77777777" w:rsidR="00914D13" w:rsidRPr="00D11BDA" w:rsidRDefault="00914D13" w:rsidP="00914D13">
      <w:pPr>
        <w:ind w:left="720" w:hanging="684"/>
        <w:contextualSpacing/>
        <w:jc w:val="both"/>
        <w:rPr>
          <w:sz w:val="20"/>
          <w:szCs w:val="20"/>
          <w:lang w:bidi="en-US"/>
        </w:rPr>
      </w:pPr>
    </w:p>
    <w:p w14:paraId="106397CB"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Unless provided otherwise in the Agreement, all costs and expenses incurred in the performance of the Services are to </w:t>
      </w:r>
      <w:proofErr w:type="gramStart"/>
      <w:r w:rsidRPr="00D11BDA">
        <w:rPr>
          <w:sz w:val="20"/>
          <w:szCs w:val="20"/>
          <w:lang w:bidi="en-US"/>
        </w:rPr>
        <w:t>be paid</w:t>
      </w:r>
      <w:proofErr w:type="gramEnd"/>
      <w:r w:rsidRPr="00D11BDA">
        <w:rPr>
          <w:sz w:val="20"/>
          <w:szCs w:val="20"/>
          <w:lang w:bidi="en-US"/>
        </w:rPr>
        <w:t xml:space="preserve"> by Vendor.</w:t>
      </w:r>
    </w:p>
    <w:p w14:paraId="57C30AC8" w14:textId="77777777" w:rsidR="00914D13" w:rsidRPr="00D11BDA" w:rsidRDefault="00914D13" w:rsidP="00914D13">
      <w:pPr>
        <w:ind w:left="792" w:hanging="684"/>
        <w:contextualSpacing/>
        <w:jc w:val="both"/>
        <w:rPr>
          <w:sz w:val="20"/>
          <w:szCs w:val="20"/>
          <w:lang w:bidi="en-US"/>
        </w:rPr>
      </w:pPr>
    </w:p>
    <w:p w14:paraId="708171CC"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The State shall not be liable for the payment of federal, state and local sales, use and excise taxes, including any interest and penalties from any related deficiency, which may become due and payable </w:t>
      </w:r>
      <w:proofErr w:type="gramStart"/>
      <w:r w:rsidRPr="00D11BDA">
        <w:rPr>
          <w:sz w:val="20"/>
          <w:szCs w:val="20"/>
          <w:lang w:bidi="en-US"/>
        </w:rPr>
        <w:t>as a consequence</w:t>
      </w:r>
      <w:proofErr w:type="gramEnd"/>
      <w:r w:rsidRPr="00D11BDA">
        <w:rPr>
          <w:sz w:val="20"/>
          <w:szCs w:val="20"/>
          <w:lang w:bidi="en-US"/>
        </w:rPr>
        <w:t xml:space="preserve"> of the Agreement.</w:t>
      </w:r>
    </w:p>
    <w:p w14:paraId="30F78277" w14:textId="77777777" w:rsidR="00914D13" w:rsidRPr="00D11BDA" w:rsidRDefault="00914D13" w:rsidP="00914D13">
      <w:pPr>
        <w:ind w:left="792" w:hanging="684"/>
        <w:contextualSpacing/>
        <w:jc w:val="both"/>
        <w:rPr>
          <w:sz w:val="20"/>
          <w:szCs w:val="20"/>
          <w:lang w:bidi="en-US"/>
        </w:rPr>
      </w:pPr>
    </w:p>
    <w:p w14:paraId="2254E3AD"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The State shall have the right to setoff or subtract from any payment to </w:t>
      </w:r>
      <w:proofErr w:type="gramStart"/>
      <w:r w:rsidRPr="00D11BDA">
        <w:rPr>
          <w:sz w:val="20"/>
          <w:szCs w:val="20"/>
          <w:lang w:bidi="en-US"/>
        </w:rPr>
        <w:t>be made</w:t>
      </w:r>
      <w:proofErr w:type="gramEnd"/>
      <w:r w:rsidRPr="00D11BDA">
        <w:rPr>
          <w:sz w:val="20"/>
          <w:szCs w:val="20"/>
          <w:lang w:bidi="en-US"/>
        </w:rPr>
        <w:t xml:space="preserve"> to Vendor all damages, costs and expenses caused by Vendor’s breach of the Agreement or Vendor’s negligence.</w:t>
      </w:r>
    </w:p>
    <w:p w14:paraId="2DAF3286" w14:textId="77777777" w:rsidR="00914D13" w:rsidRPr="00D11BDA" w:rsidRDefault="00914D13" w:rsidP="00914D13">
      <w:pPr>
        <w:ind w:left="792" w:hanging="684"/>
        <w:contextualSpacing/>
        <w:jc w:val="both"/>
        <w:rPr>
          <w:sz w:val="20"/>
          <w:szCs w:val="20"/>
          <w:lang w:bidi="en-US"/>
        </w:rPr>
      </w:pPr>
    </w:p>
    <w:p w14:paraId="35320DE1"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Time Schedule.</w:t>
      </w:r>
    </w:p>
    <w:p w14:paraId="5C4B4A5A" w14:textId="77777777" w:rsidR="00914D13" w:rsidRPr="00D11BDA" w:rsidRDefault="00914D13" w:rsidP="00914D13">
      <w:pPr>
        <w:ind w:left="360"/>
        <w:contextualSpacing/>
        <w:jc w:val="both"/>
        <w:rPr>
          <w:sz w:val="20"/>
          <w:szCs w:val="20"/>
          <w:lang w:bidi="en-US"/>
        </w:rPr>
      </w:pPr>
    </w:p>
    <w:p w14:paraId="4F7041D3"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implementation plan is set out on </w:t>
      </w:r>
      <w:r w:rsidRPr="00D11BDA">
        <w:rPr>
          <w:b/>
          <w:color w:val="000000"/>
          <w:sz w:val="20"/>
          <w:szCs w:val="20"/>
          <w:lang w:bidi="en-US"/>
        </w:rPr>
        <w:t>Exhibit 3</w:t>
      </w:r>
      <w:r w:rsidRPr="00D11BDA">
        <w:rPr>
          <w:color w:val="000000"/>
          <w:sz w:val="20"/>
          <w:szCs w:val="20"/>
          <w:lang w:bidi="en-US"/>
        </w:rPr>
        <w:t xml:space="preserve">.  The parties recognize that the plan, as of the date of execution of the Agreement, reflects good faith estimates of timeframes and is subject to change in accordance with this Section 3.1.  The parties shall have a period of </w:t>
      </w:r>
      <w:proofErr w:type="gramStart"/>
      <w:r w:rsidRPr="00D11BDA">
        <w:rPr>
          <w:color w:val="000000"/>
          <w:sz w:val="20"/>
          <w:szCs w:val="20"/>
          <w:lang w:bidi="en-US"/>
        </w:rPr>
        <w:t>thirty (30) days</w:t>
      </w:r>
      <w:proofErr w:type="gramEnd"/>
      <w:r w:rsidRPr="00D11BDA">
        <w:rPr>
          <w:color w:val="000000"/>
          <w:sz w:val="20"/>
          <w:szCs w:val="20"/>
          <w:lang w:bidi="en-US"/>
        </w:rPr>
        <w:t xml:space="preserve"> from the execution of the Agreement by all parties to discuss and refine the plan.  If, during such 30-day period, either party in good faith determines that </w:t>
      </w:r>
      <w:r w:rsidR="00C92FBE" w:rsidRPr="00D11BDA">
        <w:rPr>
          <w:color w:val="000000"/>
          <w:sz w:val="20"/>
          <w:szCs w:val="20"/>
          <w:lang w:bidi="en-US"/>
        </w:rPr>
        <w:t xml:space="preserve">material changes to the </w:t>
      </w:r>
      <w:r w:rsidRPr="00D11BDA">
        <w:rPr>
          <w:color w:val="000000"/>
          <w:sz w:val="20"/>
          <w:szCs w:val="20"/>
          <w:lang w:bidi="en-US"/>
        </w:rPr>
        <w:t xml:space="preserve">plan are necessary, the State and Vendor shall have the right </w:t>
      </w:r>
      <w:proofErr w:type="gramStart"/>
      <w:r w:rsidRPr="00D11BDA">
        <w:rPr>
          <w:color w:val="000000"/>
          <w:sz w:val="20"/>
          <w:szCs w:val="20"/>
          <w:lang w:bidi="en-US"/>
        </w:rPr>
        <w:t>to immediately terminate</w:t>
      </w:r>
      <w:proofErr w:type="gramEnd"/>
      <w:r w:rsidRPr="00D11BDA">
        <w:rPr>
          <w:color w:val="000000"/>
          <w:sz w:val="20"/>
          <w:szCs w:val="20"/>
          <w:lang w:bidi="en-US"/>
        </w:rPr>
        <w:t xml:space="preserve"> the Agreement without liability.  If the Agreement </w:t>
      </w:r>
      <w:proofErr w:type="gramStart"/>
      <w:r w:rsidRPr="00D11BDA">
        <w:rPr>
          <w:color w:val="000000"/>
          <w:sz w:val="20"/>
          <w:szCs w:val="20"/>
          <w:lang w:bidi="en-US"/>
        </w:rPr>
        <w:t>is so terminated</w:t>
      </w:r>
      <w:proofErr w:type="gramEnd"/>
      <w:r w:rsidRPr="00D11BDA">
        <w:rPr>
          <w:color w:val="000000"/>
          <w:sz w:val="20"/>
          <w:szCs w:val="20"/>
          <w:lang w:bidi="en-US"/>
        </w:rPr>
        <w:t>, the State may engage another vendor and issue a new award in respect of the Services.</w:t>
      </w:r>
    </w:p>
    <w:p w14:paraId="209A2168" w14:textId="77777777" w:rsidR="00914D13" w:rsidRPr="00D11BDA" w:rsidRDefault="00914D13" w:rsidP="00914D13">
      <w:pPr>
        <w:ind w:left="792" w:hanging="684"/>
        <w:contextualSpacing/>
        <w:jc w:val="both"/>
        <w:rPr>
          <w:sz w:val="20"/>
          <w:szCs w:val="20"/>
          <w:lang w:bidi="en-US"/>
        </w:rPr>
      </w:pPr>
    </w:p>
    <w:p w14:paraId="54005FE2"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Any delay of Services or change in the sequence of Services, as applicable, </w:t>
      </w:r>
      <w:proofErr w:type="gramStart"/>
      <w:r w:rsidRPr="00D11BDA">
        <w:rPr>
          <w:color w:val="000000"/>
          <w:sz w:val="20"/>
          <w:szCs w:val="20"/>
          <w:lang w:bidi="en-US"/>
        </w:rPr>
        <w:t>must be approved</w:t>
      </w:r>
      <w:proofErr w:type="gramEnd"/>
      <w:r w:rsidRPr="00D11BDA">
        <w:rPr>
          <w:color w:val="000000"/>
          <w:sz w:val="20"/>
          <w:szCs w:val="20"/>
          <w:lang w:bidi="en-US"/>
        </w:rPr>
        <w:t xml:space="preserve"> in writing by the State.</w:t>
      </w:r>
    </w:p>
    <w:p w14:paraId="2D6B376C" w14:textId="77777777" w:rsidR="00914D13" w:rsidRPr="00D11BDA" w:rsidRDefault="00914D13" w:rsidP="00914D13">
      <w:pPr>
        <w:ind w:left="792" w:hanging="684"/>
        <w:contextualSpacing/>
        <w:jc w:val="both"/>
        <w:rPr>
          <w:sz w:val="20"/>
          <w:szCs w:val="20"/>
          <w:lang w:bidi="en-US"/>
        </w:rPr>
      </w:pPr>
    </w:p>
    <w:p w14:paraId="0539E74E"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color w:val="000000"/>
          <w:sz w:val="20"/>
          <w:szCs w:val="20"/>
          <w:lang w:bidi="en-US"/>
        </w:rPr>
        <w:t xml:space="preserve">In the event that Vendor fails to complete the Services or any portion thereof within the time specified in </w:t>
      </w:r>
      <w:r w:rsidRPr="00D11BDA">
        <w:rPr>
          <w:b/>
          <w:color w:val="000000"/>
          <w:sz w:val="20"/>
          <w:szCs w:val="20"/>
          <w:lang w:bidi="en-US"/>
        </w:rPr>
        <w:t>Exhibit 3</w:t>
      </w:r>
      <w:r w:rsidRPr="00D11BDA">
        <w:rPr>
          <w:color w:val="000000"/>
          <w:sz w:val="20"/>
          <w:szCs w:val="20"/>
          <w:lang w:bidi="en-US"/>
        </w:rPr>
        <w:t xml:space="preserve">, or with such additional time as may be granted in writing by the State, or fails to perform the Services, or any separable part thereof, with such diligence as will insure its completion within the time specified in </w:t>
      </w:r>
      <w:r w:rsidRPr="00D11BDA">
        <w:rPr>
          <w:b/>
          <w:color w:val="000000"/>
          <w:sz w:val="20"/>
          <w:szCs w:val="20"/>
          <w:lang w:bidi="en-US"/>
        </w:rPr>
        <w:t>Exhibit 3</w:t>
      </w:r>
      <w:r w:rsidRPr="00D11BDA">
        <w:rPr>
          <w:color w:val="000000"/>
          <w:sz w:val="20"/>
          <w:szCs w:val="20"/>
          <w:lang w:bidi="en-US"/>
        </w:rPr>
        <w:t xml:space="preserve"> or any extensions thereof, the State may in its discretion, among other remedies, suspend all payment obligations under the Agreement.</w:t>
      </w:r>
      <w:proofErr w:type="gramEnd"/>
    </w:p>
    <w:p w14:paraId="196B503D" w14:textId="77777777" w:rsidR="00914D13" w:rsidRPr="00D11BDA" w:rsidRDefault="00914D13" w:rsidP="00914D13">
      <w:pPr>
        <w:ind w:left="792"/>
        <w:contextualSpacing/>
        <w:jc w:val="both"/>
        <w:rPr>
          <w:sz w:val="20"/>
          <w:szCs w:val="20"/>
          <w:lang w:bidi="en-US"/>
        </w:rPr>
      </w:pPr>
    </w:p>
    <w:p w14:paraId="44F1F0C7" w14:textId="77777777" w:rsidR="00914D13" w:rsidRPr="00D11BDA" w:rsidRDefault="00914D13" w:rsidP="00914D13">
      <w:pPr>
        <w:numPr>
          <w:ilvl w:val="0"/>
          <w:numId w:val="7"/>
        </w:numPr>
        <w:contextualSpacing/>
        <w:jc w:val="both"/>
        <w:rPr>
          <w:b/>
          <w:sz w:val="20"/>
          <w:szCs w:val="20"/>
          <w:lang w:bidi="en-US"/>
        </w:rPr>
      </w:pPr>
      <w:r w:rsidRPr="00D11BDA">
        <w:rPr>
          <w:b/>
          <w:bCs/>
          <w:sz w:val="20"/>
          <w:szCs w:val="20"/>
          <w:lang w:bidi="en-US"/>
        </w:rPr>
        <w:t>Responsibilities of Vendor.</w:t>
      </w:r>
    </w:p>
    <w:p w14:paraId="10AEDA1D" w14:textId="77777777" w:rsidR="00914D13" w:rsidRPr="00D11BDA" w:rsidRDefault="00914D13" w:rsidP="00914D13">
      <w:pPr>
        <w:ind w:left="360"/>
        <w:contextualSpacing/>
        <w:jc w:val="both"/>
        <w:rPr>
          <w:sz w:val="20"/>
          <w:szCs w:val="20"/>
          <w:lang w:bidi="en-US"/>
        </w:rPr>
      </w:pPr>
    </w:p>
    <w:p w14:paraId="1EF23984"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Vendor shall be responsible for the professional quality, technical accuracy, timely completion, and coordination of all Services furnished by Vendor and its principals, officers, employees and agents under the Agreement. In performing Services, Vendor shall follow practices consistent with generally accepted professional and technical standards and comply with all applicable federal, state and local laws, ordinances, codes and regulations, including, without limitation, all guidelines and performance standards established by the Board.  </w:t>
      </w:r>
    </w:p>
    <w:p w14:paraId="4D955285" w14:textId="77777777" w:rsidR="00914D13" w:rsidRPr="00D11BDA" w:rsidRDefault="00914D13" w:rsidP="00914D13">
      <w:pPr>
        <w:ind w:left="864" w:hanging="684"/>
        <w:contextualSpacing/>
        <w:jc w:val="both"/>
        <w:rPr>
          <w:sz w:val="20"/>
          <w:szCs w:val="20"/>
          <w:lang w:bidi="en-US"/>
        </w:rPr>
      </w:pPr>
    </w:p>
    <w:p w14:paraId="748BA2C9" w14:textId="3CD6DD7F" w:rsidR="00914D13" w:rsidRPr="00E609C6" w:rsidRDefault="00914D13" w:rsidP="00384FA7">
      <w:pPr>
        <w:numPr>
          <w:ilvl w:val="1"/>
          <w:numId w:val="7"/>
        </w:numPr>
        <w:ind w:hanging="684"/>
        <w:contextualSpacing/>
        <w:jc w:val="both"/>
        <w:rPr>
          <w:sz w:val="20"/>
          <w:szCs w:val="20"/>
          <w:lang w:bidi="en-US"/>
        </w:rPr>
      </w:pPr>
      <w:r w:rsidRPr="00D11BDA">
        <w:rPr>
          <w:sz w:val="20"/>
          <w:szCs w:val="20"/>
          <w:lang w:bidi="en-US"/>
        </w:rPr>
        <w:t>Vendor shall be responsible for ensuring that all Services, additional work, products and deliverables furnished pursuant to the Agreement comply with the standards promulgated by the Delaware Department of Technology and Information (“DTI”) published at</w:t>
      </w:r>
      <w:r w:rsidR="00AB1C44">
        <w:rPr>
          <w:sz w:val="20"/>
          <w:szCs w:val="20"/>
          <w:lang w:bidi="en-US"/>
        </w:rPr>
        <w:t xml:space="preserve"> </w:t>
      </w:r>
      <w:hyperlink r:id="rId27" w:history="1">
        <w:r w:rsidR="00AB1C44" w:rsidRPr="00384FA7">
          <w:rPr>
            <w:sz w:val="20"/>
            <w:szCs w:val="20"/>
          </w:rPr>
          <w:t>https://dti.delaware.gov/information/standards-policies.shtml</w:t>
        </w:r>
      </w:hyperlink>
      <w:r w:rsidRPr="00384FA7">
        <w:rPr>
          <w:sz w:val="20"/>
          <w:szCs w:val="20"/>
          <w:lang w:bidi="en-US"/>
        </w:rPr>
        <w:t>, and as modified from time to time by DTI during the term of the Agreement. If any Service, additional work product or deliverable furnished pursuant to the Agreement does not conform to DTI standards, Vendor shall, at its expense and option either (1) replace it with a conforming equivalent or (2) modify it to conform to DTI standards. Vendor shall be and remain liable in accordance with the terms of the Agreement and applicable law for all damages to and expenses incurred by the State resulting from or attributable to Vendor’s failure to comply with DTI standards.</w:t>
      </w:r>
    </w:p>
    <w:p w14:paraId="64ACAD59" w14:textId="77777777" w:rsidR="00E609C6" w:rsidRDefault="00E609C6" w:rsidP="00E609C6">
      <w:pPr>
        <w:pStyle w:val="ListParagraph"/>
        <w:rPr>
          <w:sz w:val="20"/>
          <w:szCs w:val="20"/>
          <w:lang w:bidi="en-US"/>
        </w:rPr>
      </w:pPr>
    </w:p>
    <w:p w14:paraId="17B13413" w14:textId="14C98061" w:rsidR="00E609C6" w:rsidRPr="00384FA7" w:rsidRDefault="00384FA7" w:rsidP="00384FA7">
      <w:pPr>
        <w:numPr>
          <w:ilvl w:val="1"/>
          <w:numId w:val="7"/>
        </w:numPr>
        <w:ind w:hanging="684"/>
        <w:contextualSpacing/>
        <w:jc w:val="both"/>
        <w:rPr>
          <w:rFonts w:eastAsia="Arial"/>
          <w:sz w:val="20"/>
          <w:szCs w:val="20"/>
        </w:rPr>
      </w:pPr>
      <w:r w:rsidRPr="00384FA7">
        <w:rPr>
          <w:rFonts w:eastAsia="Arial"/>
          <w:sz w:val="20"/>
          <w:szCs w:val="20"/>
        </w:rPr>
        <w:t xml:space="preserve">Vendor acknowledges that DTI is responsible for safeguarding the confidentiality and integrity of data in the State’s computer files regardless of the source of those data or medium on which they are stored - e.g., electronic data, computer output microfilm (COM), tape, or disk. Software programs supporting the Services or </w:t>
      </w:r>
      <w:proofErr w:type="gramStart"/>
      <w:r w:rsidRPr="00384FA7">
        <w:rPr>
          <w:rFonts w:eastAsia="Arial"/>
          <w:sz w:val="20"/>
          <w:szCs w:val="20"/>
        </w:rPr>
        <w:t>developed</w:t>
      </w:r>
      <w:proofErr w:type="gramEnd"/>
      <w:r w:rsidRPr="00384FA7">
        <w:rPr>
          <w:rFonts w:eastAsia="Arial"/>
          <w:sz w:val="20"/>
          <w:szCs w:val="20"/>
        </w:rPr>
        <w:t xml:space="preserve"> to process or manage State agency data shall not be modified without the prior knowledge and written authorization of DTI. </w:t>
      </w:r>
    </w:p>
    <w:p w14:paraId="5A3BE365" w14:textId="57FC1126" w:rsidR="00914D13" w:rsidRPr="00D11BDA" w:rsidRDefault="00914D13" w:rsidP="0055424D">
      <w:pPr>
        <w:contextualSpacing/>
        <w:rPr>
          <w:rFonts w:eastAsia="Arial"/>
          <w:bCs/>
          <w:color w:val="000000"/>
          <w:sz w:val="20"/>
          <w:szCs w:val="20"/>
          <w:lang w:bidi="en-US"/>
        </w:rPr>
      </w:pPr>
    </w:p>
    <w:p w14:paraId="468F7D45" w14:textId="77777777"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 xml:space="preserve">Vendor is required to agree to the requirements in the Confidentiality (Non-Disclosure) and Integrity of Data Agreement (“Data Agreement”) attached as </w:t>
      </w:r>
      <w:r w:rsidRPr="00D11BDA">
        <w:rPr>
          <w:rFonts w:eastAsia="Arial"/>
          <w:b/>
          <w:sz w:val="20"/>
          <w:szCs w:val="20"/>
        </w:rPr>
        <w:t>Exhibit 4</w:t>
      </w:r>
      <w:r w:rsidRPr="00D11BDA">
        <w:rPr>
          <w:rFonts w:eastAsia="Arial"/>
          <w:sz w:val="20"/>
          <w:szCs w:val="20"/>
        </w:rPr>
        <w:t>. Vendor employees, individually, may be required to sign the Data Agreement prior to beginning work.</w:t>
      </w:r>
    </w:p>
    <w:p w14:paraId="0F15779F" w14:textId="705BB3B0" w:rsidR="00914D13" w:rsidRPr="00D11BDA" w:rsidRDefault="00914D13" w:rsidP="0055424D">
      <w:pPr>
        <w:contextualSpacing/>
        <w:rPr>
          <w:rFonts w:eastAsia="Arial"/>
          <w:bCs/>
          <w:color w:val="000000"/>
          <w:sz w:val="20"/>
          <w:szCs w:val="20"/>
          <w:lang w:bidi="en-US"/>
        </w:rPr>
      </w:pPr>
    </w:p>
    <w:p w14:paraId="459AB6D9" w14:textId="77777777"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 xml:space="preserve">It shall be Vendor’s duty to assure that all Services and products of its efforts do not cause, directly or indirectly, any unauthorized acquisition of data that compromises the security, confidentiality, or integrity of information maintained by the State. Vendor’s agreement shall not limit or modify liability for information security breaches, and Vendor shall indemnify and hold harmless the State and the Board and their respective agents and employees from any and all liability, suits, actions or claims, together with all reasonable costs and expenses (including attorneys’ fees) arising out of such breaches. In addition to all rights and remedies available to it in law or in equity, the State shall subtract from any payment made to Vendor all damages, costs and expenses caused by such information security breaches that </w:t>
      </w:r>
      <w:proofErr w:type="gramStart"/>
      <w:r w:rsidRPr="00D11BDA">
        <w:rPr>
          <w:rFonts w:eastAsia="Arial"/>
          <w:sz w:val="20"/>
          <w:szCs w:val="20"/>
        </w:rPr>
        <w:t>have not been previously paid</w:t>
      </w:r>
      <w:proofErr w:type="gramEnd"/>
      <w:r w:rsidRPr="00D11BDA">
        <w:rPr>
          <w:rFonts w:eastAsia="Arial"/>
          <w:sz w:val="20"/>
          <w:szCs w:val="20"/>
        </w:rPr>
        <w:t xml:space="preserve"> to Vendor.</w:t>
      </w:r>
    </w:p>
    <w:p w14:paraId="7A04D9B2" w14:textId="212F1DDA" w:rsidR="00914D13" w:rsidRPr="00D11BDA" w:rsidRDefault="00914D13" w:rsidP="003C3635">
      <w:pPr>
        <w:contextualSpacing/>
        <w:rPr>
          <w:bCs/>
          <w:color w:val="000000"/>
          <w:sz w:val="20"/>
          <w:szCs w:val="20"/>
          <w:lang w:bidi="en-US"/>
        </w:rPr>
      </w:pPr>
    </w:p>
    <w:p w14:paraId="272078BA"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It shall be the duty of the Vendor to assure that all Services are technically sound and in conformance with all pertinent federal, state and local statutes, codes, ordinances, resolutions and other regulations.  Vendor will not provide Services or produce work product that violates or infringes on any copyright or patent rights. Vendor shall, without additional compensation, correct or revise any errors or omissions in its Services or work product.</w:t>
      </w:r>
    </w:p>
    <w:p w14:paraId="23C4432D" w14:textId="77777777" w:rsidR="00914D13" w:rsidRPr="00D11BDA" w:rsidRDefault="00914D13" w:rsidP="00914D13">
      <w:pPr>
        <w:ind w:left="792" w:hanging="684"/>
        <w:contextualSpacing/>
        <w:jc w:val="both"/>
        <w:rPr>
          <w:sz w:val="20"/>
          <w:szCs w:val="20"/>
          <w:lang w:bidi="en-US"/>
        </w:rPr>
      </w:pPr>
    </w:p>
    <w:p w14:paraId="3B51D364"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Permitted or required approval by the State of any Services by Vendor </w:t>
      </w:r>
      <w:proofErr w:type="gramStart"/>
      <w:r w:rsidRPr="00D11BDA">
        <w:rPr>
          <w:color w:val="000000"/>
          <w:sz w:val="20"/>
          <w:szCs w:val="20"/>
          <w:lang w:bidi="en-US"/>
        </w:rPr>
        <w:t>shall not in any way relieve</w:t>
      </w:r>
      <w:proofErr w:type="gramEnd"/>
      <w:r w:rsidRPr="00D11BDA">
        <w:rPr>
          <w:color w:val="000000"/>
          <w:sz w:val="20"/>
          <w:szCs w:val="20"/>
          <w:lang w:bidi="en-US"/>
        </w:rPr>
        <w:t xml:space="preserve"> Vendor of responsibility for the professional and technical accuracy and adequacy of such work. </w:t>
      </w:r>
      <w:proofErr w:type="gramStart"/>
      <w:r w:rsidRPr="00D11BDA">
        <w:rPr>
          <w:color w:val="000000"/>
          <w:sz w:val="20"/>
          <w:szCs w:val="20"/>
          <w:lang w:bidi="en-US"/>
        </w:rPr>
        <w:t>The State’s review, approval, acceptance, or payment for any of Vendor’s Services shall not be construed to operate as a waiver of any rights under the Agreement or of any cause of action arising out of or relating to the performance of the Agreement, and Vendor shall be and remain liable in accordance with the terms of the Agreement and applicable law for all damages to the State caused by Vendor’s performance or failure to perform under the Agreement.</w:t>
      </w:r>
      <w:proofErr w:type="gramEnd"/>
    </w:p>
    <w:p w14:paraId="4D276617" w14:textId="77777777" w:rsidR="00914D13" w:rsidRPr="00D11BDA" w:rsidRDefault="00914D13" w:rsidP="00914D13">
      <w:pPr>
        <w:ind w:left="792" w:hanging="684"/>
        <w:contextualSpacing/>
        <w:jc w:val="both"/>
        <w:rPr>
          <w:sz w:val="20"/>
          <w:szCs w:val="20"/>
          <w:lang w:bidi="en-US"/>
        </w:rPr>
      </w:pPr>
    </w:p>
    <w:p w14:paraId="7B84541F"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shall appoint a senior employee who will manage the implementation of Services for the State. Vendor shall also appoint a senior employee who will manage the performance of such </w:t>
      </w:r>
      <w:r w:rsidR="00665C6A" w:rsidRPr="00D11BDA">
        <w:rPr>
          <w:color w:val="000000"/>
          <w:sz w:val="20"/>
          <w:szCs w:val="20"/>
          <w:lang w:bidi="en-US"/>
        </w:rPr>
        <w:t>Service</w:t>
      </w:r>
      <w:r w:rsidRPr="00D11BDA">
        <w:rPr>
          <w:color w:val="000000"/>
          <w:sz w:val="20"/>
          <w:szCs w:val="20"/>
          <w:lang w:bidi="en-US"/>
        </w:rPr>
        <w:t>, and act as the single point of contact to the State and the Board following implementation.</w:t>
      </w:r>
    </w:p>
    <w:p w14:paraId="1E9C2C50" w14:textId="77777777" w:rsidR="00914D13" w:rsidRPr="00D11BDA" w:rsidRDefault="00914D13" w:rsidP="00914D13">
      <w:pPr>
        <w:ind w:hanging="684"/>
        <w:contextualSpacing/>
        <w:jc w:val="both"/>
        <w:rPr>
          <w:sz w:val="20"/>
          <w:szCs w:val="20"/>
          <w:lang w:bidi="en-US"/>
        </w:rPr>
      </w:pPr>
    </w:p>
    <w:p w14:paraId="685CC710" w14:textId="5B4A3315"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Designation of persons for the position</w:t>
      </w:r>
      <w:r w:rsidR="00D53E51">
        <w:rPr>
          <w:color w:val="000000"/>
          <w:sz w:val="20"/>
          <w:szCs w:val="20"/>
          <w:lang w:bidi="en-US"/>
        </w:rPr>
        <w:t>s identified in Section 4.8</w:t>
      </w:r>
      <w:r w:rsidR="00665C6A" w:rsidRPr="00D11BDA">
        <w:rPr>
          <w:color w:val="000000"/>
          <w:sz w:val="20"/>
          <w:szCs w:val="20"/>
          <w:lang w:bidi="en-US"/>
        </w:rPr>
        <w:t xml:space="preserve"> shall be</w:t>
      </w:r>
      <w:r w:rsidRPr="00D11BDA">
        <w:rPr>
          <w:color w:val="000000"/>
          <w:sz w:val="20"/>
          <w:szCs w:val="20"/>
          <w:lang w:bidi="en-US"/>
        </w:rPr>
        <w:t xml:space="preserve"> subject to review and approval by the State.  </w:t>
      </w:r>
      <w:proofErr w:type="gramStart"/>
      <w:r w:rsidRPr="00D11BDA">
        <w:rPr>
          <w:color w:val="000000"/>
          <w:sz w:val="20"/>
          <w:szCs w:val="20"/>
          <w:lang w:bidi="en-US"/>
        </w:rPr>
        <w:t>Should the staff need to be diverted off the project for what are now unforeseeable circumstances, Vendor will notify the State immediately and work out a transition plan that is acceptable to both parties, as well as agree to an acceptable replacement plan to fill or complete the work originally assigned to the diverted project staff at no cost to Delaware.</w:t>
      </w:r>
      <w:proofErr w:type="gramEnd"/>
      <w:r w:rsidRPr="00D11BDA">
        <w:rPr>
          <w:color w:val="000000"/>
          <w:sz w:val="20"/>
          <w:szCs w:val="20"/>
          <w:lang w:bidi="en-US"/>
        </w:rPr>
        <w:t xml:space="preserve">  Selected replacement staff are subject to review and approval by the State.  If Vendor fails to make a required replacement within 30 days, the State may ter</w:t>
      </w:r>
      <w:r w:rsidR="00665C6A" w:rsidRPr="00D11BDA">
        <w:rPr>
          <w:color w:val="000000"/>
          <w:sz w:val="20"/>
          <w:szCs w:val="20"/>
          <w:lang w:bidi="en-US"/>
        </w:rPr>
        <w:t>minate the Agreement for cause</w:t>
      </w:r>
      <w:r w:rsidRPr="00D11BDA">
        <w:rPr>
          <w:color w:val="000000"/>
          <w:sz w:val="20"/>
          <w:szCs w:val="20"/>
          <w:lang w:bidi="en-US"/>
        </w:rPr>
        <w:t>. Upon receipt of written notice from the State that an employee of Vendor is unsuitable</w:t>
      </w:r>
      <w:r w:rsidR="009014A0" w:rsidRPr="00D11BDA">
        <w:rPr>
          <w:color w:val="000000"/>
          <w:sz w:val="20"/>
          <w:szCs w:val="20"/>
          <w:lang w:bidi="en-US"/>
        </w:rPr>
        <w:t xml:space="preserve"> to the State, in its sole discretion,</w:t>
      </w:r>
      <w:r w:rsidRPr="00D11BDA">
        <w:rPr>
          <w:color w:val="000000"/>
          <w:sz w:val="20"/>
          <w:szCs w:val="20"/>
          <w:lang w:bidi="en-US"/>
        </w:rPr>
        <w:t xml:space="preserve"> Vendor shall remove such employee from the performance of Services and substitute in his/her place an employee suitable to the State.</w:t>
      </w:r>
    </w:p>
    <w:p w14:paraId="4A4D8E06" w14:textId="77777777" w:rsidR="00914D13" w:rsidRPr="00D11BDA" w:rsidRDefault="00914D13" w:rsidP="00914D13">
      <w:pPr>
        <w:ind w:left="792" w:hanging="684"/>
        <w:contextualSpacing/>
        <w:jc w:val="both"/>
        <w:rPr>
          <w:sz w:val="20"/>
          <w:szCs w:val="20"/>
          <w:lang w:bidi="en-US"/>
        </w:rPr>
      </w:pPr>
    </w:p>
    <w:p w14:paraId="1C4E5486"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agrees that its officers and employees will cooperate with the State in the performance of Services and will be available for consultation with the State at such reasonable times with advance notice </w:t>
      </w:r>
      <w:proofErr w:type="gramStart"/>
      <w:r w:rsidRPr="00D11BDA">
        <w:rPr>
          <w:color w:val="000000"/>
          <w:sz w:val="20"/>
          <w:szCs w:val="20"/>
          <w:lang w:bidi="en-US"/>
        </w:rPr>
        <w:t>so as to</w:t>
      </w:r>
      <w:proofErr w:type="gramEnd"/>
      <w:r w:rsidRPr="00D11BDA">
        <w:rPr>
          <w:color w:val="000000"/>
          <w:sz w:val="20"/>
          <w:szCs w:val="20"/>
          <w:lang w:bidi="en-US"/>
        </w:rPr>
        <w:t xml:space="preserve"> not conflict with their other responsibilities.</w:t>
      </w:r>
    </w:p>
    <w:p w14:paraId="040D5214" w14:textId="77777777" w:rsidR="00914D13" w:rsidRPr="00D11BDA" w:rsidRDefault="00914D13" w:rsidP="00914D13">
      <w:pPr>
        <w:ind w:left="792" w:hanging="684"/>
        <w:contextualSpacing/>
        <w:jc w:val="both"/>
        <w:rPr>
          <w:sz w:val="20"/>
          <w:szCs w:val="20"/>
          <w:lang w:bidi="en-US"/>
        </w:rPr>
      </w:pPr>
    </w:p>
    <w:p w14:paraId="0E1281FD"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has or will retain such </w:t>
      </w:r>
      <w:proofErr w:type="gramStart"/>
      <w:r w:rsidRPr="00D11BDA">
        <w:rPr>
          <w:color w:val="000000"/>
          <w:sz w:val="20"/>
          <w:szCs w:val="20"/>
          <w:lang w:bidi="en-US"/>
        </w:rPr>
        <w:t>employees</w:t>
      </w:r>
      <w:proofErr w:type="gramEnd"/>
      <w:r w:rsidRPr="00D11BDA">
        <w:rPr>
          <w:color w:val="000000"/>
          <w:sz w:val="20"/>
          <w:szCs w:val="20"/>
          <w:lang w:bidi="en-US"/>
        </w:rPr>
        <w:t xml:space="preserve"> as it may need to perform the Services.  Such employees </w:t>
      </w:r>
      <w:proofErr w:type="gramStart"/>
      <w:r w:rsidRPr="00D11BDA">
        <w:rPr>
          <w:color w:val="000000"/>
          <w:sz w:val="20"/>
          <w:szCs w:val="20"/>
          <w:lang w:bidi="en-US"/>
        </w:rPr>
        <w:t>shall not be employed</w:t>
      </w:r>
      <w:proofErr w:type="gramEnd"/>
      <w:r w:rsidRPr="00D11BDA">
        <w:rPr>
          <w:color w:val="000000"/>
          <w:sz w:val="20"/>
          <w:szCs w:val="20"/>
          <w:lang w:bidi="en-US"/>
        </w:rPr>
        <w:t xml:space="preserve"> by </w:t>
      </w:r>
      <w:r w:rsidRPr="00D11BDA">
        <w:rPr>
          <w:sz w:val="20"/>
          <w:szCs w:val="20"/>
          <w:lang w:bidi="en-US"/>
        </w:rPr>
        <w:t>the State</w:t>
      </w:r>
      <w:r w:rsidR="00A162A4" w:rsidRPr="00D11BDA">
        <w:rPr>
          <w:color w:val="000000"/>
          <w:sz w:val="20"/>
          <w:szCs w:val="20"/>
          <w:lang w:bidi="en-US"/>
        </w:rPr>
        <w:t xml:space="preserve"> o</w:t>
      </w:r>
      <w:r w:rsidRPr="00D11BDA">
        <w:rPr>
          <w:color w:val="000000"/>
          <w:sz w:val="20"/>
          <w:szCs w:val="20"/>
          <w:lang w:bidi="en-US"/>
        </w:rPr>
        <w:t xml:space="preserve">r any political subdivision of </w:t>
      </w:r>
      <w:r w:rsidRPr="00D11BDA">
        <w:rPr>
          <w:sz w:val="20"/>
          <w:szCs w:val="20"/>
          <w:lang w:bidi="en-US"/>
        </w:rPr>
        <w:t>the State</w:t>
      </w:r>
      <w:r w:rsidRPr="00D11BDA">
        <w:rPr>
          <w:color w:val="000000"/>
          <w:sz w:val="20"/>
          <w:szCs w:val="20"/>
          <w:lang w:bidi="en-US"/>
        </w:rPr>
        <w:t>.</w:t>
      </w:r>
    </w:p>
    <w:p w14:paraId="77118DA4" w14:textId="77777777" w:rsidR="00914D13" w:rsidRPr="00D11BDA" w:rsidRDefault="00914D13" w:rsidP="00914D13">
      <w:pPr>
        <w:ind w:left="792" w:hanging="684"/>
        <w:contextualSpacing/>
        <w:jc w:val="both"/>
        <w:rPr>
          <w:sz w:val="20"/>
          <w:szCs w:val="20"/>
          <w:lang w:bidi="en-US"/>
        </w:rPr>
      </w:pPr>
    </w:p>
    <w:p w14:paraId="7773B866"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will not use the State</w:t>
      </w:r>
      <w:r w:rsidR="002648C8" w:rsidRPr="00D11BDA">
        <w:rPr>
          <w:color w:val="000000"/>
          <w:sz w:val="20"/>
          <w:szCs w:val="20"/>
          <w:lang w:bidi="en-US"/>
        </w:rPr>
        <w:t xml:space="preserve">’s or </w:t>
      </w:r>
      <w:r w:rsidRPr="00D11BDA">
        <w:rPr>
          <w:color w:val="000000"/>
          <w:sz w:val="20"/>
          <w:szCs w:val="20"/>
          <w:lang w:bidi="en-US"/>
        </w:rPr>
        <w:t>the Board</w:t>
      </w:r>
      <w:r w:rsidR="005F3A58" w:rsidRPr="00D11BDA">
        <w:rPr>
          <w:color w:val="000000"/>
          <w:sz w:val="20"/>
          <w:szCs w:val="20"/>
          <w:lang w:bidi="en-US"/>
        </w:rPr>
        <w:t>s</w:t>
      </w:r>
      <w:r w:rsidR="002648C8" w:rsidRPr="00D11BDA">
        <w:rPr>
          <w:color w:val="000000"/>
          <w:sz w:val="20"/>
          <w:szCs w:val="20"/>
          <w:lang w:bidi="en-US"/>
        </w:rPr>
        <w:t>’</w:t>
      </w:r>
      <w:r w:rsidRPr="00D11BDA">
        <w:rPr>
          <w:color w:val="000000"/>
          <w:sz w:val="20"/>
          <w:szCs w:val="20"/>
          <w:lang w:bidi="en-US"/>
        </w:rPr>
        <w:t xml:space="preserve"> name, either express or implied, in any of its advertising or sales materials, or as a reference, without the State’s express written consent.</w:t>
      </w:r>
    </w:p>
    <w:p w14:paraId="2D760995" w14:textId="77777777" w:rsidR="00914D13" w:rsidRPr="00D11BDA" w:rsidRDefault="00914D13" w:rsidP="00914D13">
      <w:pPr>
        <w:ind w:left="720" w:hanging="684"/>
        <w:contextualSpacing/>
        <w:jc w:val="both"/>
        <w:rPr>
          <w:sz w:val="20"/>
          <w:szCs w:val="20"/>
          <w:lang w:bidi="en-US"/>
        </w:rPr>
      </w:pPr>
    </w:p>
    <w:p w14:paraId="245A5B98"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Ven</w:t>
      </w:r>
      <w:r w:rsidR="00763354" w:rsidRPr="00D11BDA">
        <w:rPr>
          <w:sz w:val="20"/>
          <w:szCs w:val="20"/>
          <w:lang w:bidi="en-US"/>
        </w:rPr>
        <w:t xml:space="preserve">dor shall be properly licensed, </w:t>
      </w:r>
      <w:r w:rsidRPr="00D11BDA">
        <w:rPr>
          <w:sz w:val="20"/>
          <w:szCs w:val="20"/>
          <w:lang w:bidi="en-US"/>
        </w:rPr>
        <w:t xml:space="preserve">registered and authorized to transact business in Delaware as provided in 30 </w:t>
      </w:r>
      <w:r w:rsidRPr="00D11BDA">
        <w:rPr>
          <w:i/>
          <w:sz w:val="20"/>
          <w:szCs w:val="20"/>
          <w:lang w:bidi="en-US"/>
        </w:rPr>
        <w:t>Del. C</w:t>
      </w:r>
      <w:r w:rsidRPr="00D11BDA">
        <w:rPr>
          <w:sz w:val="20"/>
          <w:szCs w:val="20"/>
          <w:lang w:bidi="en-US"/>
        </w:rPr>
        <w:t>. §</w:t>
      </w:r>
      <w:r w:rsidR="00763354" w:rsidRPr="00D11BDA">
        <w:rPr>
          <w:sz w:val="20"/>
          <w:szCs w:val="20"/>
          <w:lang w:bidi="en-US"/>
        </w:rPr>
        <w:t xml:space="preserve"> </w:t>
      </w:r>
      <w:r w:rsidRPr="00D11BDA">
        <w:rPr>
          <w:sz w:val="20"/>
          <w:szCs w:val="20"/>
          <w:lang w:bidi="en-US"/>
        </w:rPr>
        <w:t>2502 and other applicable laws and regulations.</w:t>
      </w:r>
    </w:p>
    <w:p w14:paraId="39788E1E" w14:textId="77777777" w:rsidR="00914D13" w:rsidRPr="00D11BDA" w:rsidRDefault="00914D13" w:rsidP="00914D13">
      <w:pPr>
        <w:ind w:left="720" w:hanging="684"/>
        <w:rPr>
          <w:sz w:val="20"/>
          <w:szCs w:val="20"/>
          <w:lang w:bidi="en-US"/>
        </w:rPr>
      </w:pPr>
    </w:p>
    <w:p w14:paraId="60F0DBB4" w14:textId="77777777" w:rsidR="00914D13" w:rsidRPr="00D11BDA" w:rsidRDefault="00914D13" w:rsidP="00BD6C4D">
      <w:pPr>
        <w:numPr>
          <w:ilvl w:val="1"/>
          <w:numId w:val="7"/>
        </w:numPr>
        <w:ind w:hanging="684"/>
        <w:contextualSpacing/>
        <w:jc w:val="both"/>
        <w:rPr>
          <w:spacing w:val="-3"/>
          <w:sz w:val="20"/>
          <w:szCs w:val="20"/>
        </w:rPr>
      </w:pPr>
      <w:r w:rsidRPr="00D11BDA">
        <w:rPr>
          <w:sz w:val="20"/>
          <w:szCs w:val="20"/>
          <w:lang w:bidi="en-US"/>
        </w:rPr>
        <w:t>Vendor shall maintain business continuity and disaster recovery plans that are acceptable to the State. Vendor shall provide the State with a summary or copy of any proposed new plan or an amendment to an existing plan at least ten (10) business days prior to the effective date of any such new plan or amendment</w:t>
      </w:r>
      <w:r w:rsidRPr="00D11BDA">
        <w:rPr>
          <w:spacing w:val="-3"/>
          <w:sz w:val="20"/>
          <w:szCs w:val="20"/>
        </w:rPr>
        <w:t>.</w:t>
      </w:r>
    </w:p>
    <w:p w14:paraId="13297B2F" w14:textId="77777777" w:rsidR="00BD6C4D" w:rsidRPr="00D11BDA" w:rsidRDefault="00BD6C4D" w:rsidP="00BD6C4D">
      <w:pPr>
        <w:pStyle w:val="ListParagraph"/>
        <w:rPr>
          <w:spacing w:val="-3"/>
          <w:sz w:val="20"/>
          <w:szCs w:val="20"/>
        </w:rPr>
      </w:pPr>
    </w:p>
    <w:p w14:paraId="3967780A" w14:textId="77777777" w:rsidR="00BD6C4D" w:rsidRPr="00D11BDA" w:rsidRDefault="00BD6C4D" w:rsidP="00BD6C4D">
      <w:pPr>
        <w:numPr>
          <w:ilvl w:val="1"/>
          <w:numId w:val="7"/>
        </w:numPr>
        <w:ind w:hanging="684"/>
        <w:contextualSpacing/>
        <w:jc w:val="both"/>
        <w:rPr>
          <w:sz w:val="20"/>
          <w:szCs w:val="20"/>
          <w:lang w:bidi="en-US"/>
        </w:rPr>
      </w:pPr>
      <w:r w:rsidRPr="00D11BDA">
        <w:rPr>
          <w:sz w:val="20"/>
          <w:szCs w:val="20"/>
          <w:lang w:bidi="en-US"/>
        </w:rPr>
        <w:t xml:space="preserve">Vendor will maintain an </w:t>
      </w:r>
      <w:proofErr w:type="gramStart"/>
      <w:r w:rsidRPr="00D11BDA">
        <w:rPr>
          <w:sz w:val="20"/>
          <w:szCs w:val="20"/>
          <w:lang w:bidi="en-US"/>
        </w:rPr>
        <w:t>information technology risk management program</w:t>
      </w:r>
      <w:proofErr w:type="gramEnd"/>
      <w:r w:rsidRPr="00D11BDA">
        <w:rPr>
          <w:sz w:val="20"/>
          <w:szCs w:val="20"/>
          <w:lang w:bidi="en-US"/>
        </w:rPr>
        <w:t xml:space="preserve"> that meets or exceeds the requirements of the Office of the Comptroller of the Currency and the </w:t>
      </w:r>
      <w:r w:rsidR="00AB0E98" w:rsidRPr="00D11BDA">
        <w:rPr>
          <w:sz w:val="20"/>
          <w:szCs w:val="20"/>
          <w:lang w:bidi="en-US"/>
        </w:rPr>
        <w:t xml:space="preserve">Federal Financial Institutions Examination Council </w:t>
      </w:r>
      <w:r w:rsidRPr="00D11BDA">
        <w:rPr>
          <w:sz w:val="20"/>
          <w:szCs w:val="20"/>
          <w:lang w:bidi="en-US"/>
        </w:rPr>
        <w:t>as well as the Gramm-Leach Bliley Act and other applicable data privacy laws and regulations.</w:t>
      </w:r>
    </w:p>
    <w:p w14:paraId="5174F9CA" w14:textId="77777777" w:rsidR="00914D13" w:rsidRPr="00D11BDA" w:rsidRDefault="00914D13" w:rsidP="00914D13">
      <w:pPr>
        <w:ind w:left="720" w:hanging="684"/>
        <w:rPr>
          <w:sz w:val="20"/>
          <w:szCs w:val="20"/>
          <w:lang w:bidi="en-US"/>
        </w:rPr>
      </w:pPr>
    </w:p>
    <w:p w14:paraId="0F9F9247"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State Responsibilities.</w:t>
      </w:r>
    </w:p>
    <w:p w14:paraId="77BB63BD" w14:textId="77777777" w:rsidR="00914D13" w:rsidRPr="00D11BDA" w:rsidRDefault="00914D13" w:rsidP="00914D13">
      <w:pPr>
        <w:ind w:left="720"/>
        <w:contextualSpacing/>
        <w:jc w:val="both"/>
        <w:rPr>
          <w:b/>
          <w:sz w:val="20"/>
          <w:szCs w:val="20"/>
          <w:lang w:bidi="en-US"/>
        </w:rPr>
      </w:pPr>
    </w:p>
    <w:p w14:paraId="6AEE4178"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The State</w:t>
      </w:r>
      <w:r w:rsidRPr="00D11BDA">
        <w:rPr>
          <w:color w:val="000000"/>
          <w:sz w:val="20"/>
          <w:szCs w:val="20"/>
          <w:lang w:bidi="en-US"/>
        </w:rPr>
        <w:t xml:space="preserve"> agrees that its officers and employees will cooperate with Vendor in the performance of Services and will be available for consultation with Vendor at such reasonable times with advance notice </w:t>
      </w:r>
      <w:proofErr w:type="gramStart"/>
      <w:r w:rsidRPr="00D11BDA">
        <w:rPr>
          <w:color w:val="000000"/>
          <w:sz w:val="20"/>
          <w:szCs w:val="20"/>
          <w:lang w:bidi="en-US"/>
        </w:rPr>
        <w:t>so as to</w:t>
      </w:r>
      <w:proofErr w:type="gramEnd"/>
      <w:r w:rsidRPr="00D11BDA">
        <w:rPr>
          <w:color w:val="000000"/>
          <w:sz w:val="20"/>
          <w:szCs w:val="20"/>
          <w:lang w:bidi="en-US"/>
        </w:rPr>
        <w:t xml:space="preserve"> not conflict with their other responsibilities.</w:t>
      </w:r>
    </w:p>
    <w:p w14:paraId="51528384" w14:textId="77777777" w:rsidR="00914D13" w:rsidRPr="00D11BDA" w:rsidRDefault="00914D13" w:rsidP="00914D13">
      <w:pPr>
        <w:contextualSpacing/>
        <w:jc w:val="both"/>
        <w:rPr>
          <w:sz w:val="20"/>
          <w:szCs w:val="20"/>
          <w:lang w:bidi="en-US"/>
        </w:rPr>
      </w:pPr>
    </w:p>
    <w:p w14:paraId="658C4095" w14:textId="77777777" w:rsidR="00914D13" w:rsidRPr="00D11BDA" w:rsidRDefault="00914D13" w:rsidP="00914D13">
      <w:pPr>
        <w:numPr>
          <w:ilvl w:val="0"/>
          <w:numId w:val="7"/>
        </w:numPr>
        <w:contextualSpacing/>
        <w:jc w:val="both"/>
        <w:rPr>
          <w:b/>
          <w:bCs/>
          <w:color w:val="000000"/>
          <w:sz w:val="20"/>
          <w:szCs w:val="20"/>
          <w:lang w:bidi="en-US"/>
        </w:rPr>
      </w:pPr>
      <w:r w:rsidRPr="00D11BDA">
        <w:rPr>
          <w:b/>
          <w:bCs/>
          <w:color w:val="000000"/>
          <w:sz w:val="20"/>
          <w:szCs w:val="20"/>
          <w:lang w:bidi="en-US"/>
        </w:rPr>
        <w:t xml:space="preserve">Work Product. </w:t>
      </w:r>
    </w:p>
    <w:p w14:paraId="509687F8" w14:textId="77777777" w:rsidR="00914D13" w:rsidRPr="00D11BDA" w:rsidRDefault="00914D13" w:rsidP="00914D13">
      <w:pPr>
        <w:ind w:left="360"/>
        <w:contextualSpacing/>
        <w:jc w:val="both"/>
        <w:rPr>
          <w:sz w:val="20"/>
          <w:szCs w:val="20"/>
          <w:lang w:bidi="en-US"/>
        </w:rPr>
      </w:pPr>
    </w:p>
    <w:p w14:paraId="39EB07E4"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Except as provided below, all materials, information, documents, and reports, whether finished, unfinished, or draft, developed, prepared, completed, or acquired by Vendor relating to the Services are property of the State and shall, if requested, be delivered to Designated Contacts upon completion or termination of the Agreement, whichever comes first. The State shall have the right to reproduce and disclose all documentation provided in connection with or otherwise supplied pursuant to the Agreement.</w:t>
      </w:r>
    </w:p>
    <w:p w14:paraId="089A84A8" w14:textId="77777777" w:rsidR="00914D13" w:rsidRPr="00D11BDA" w:rsidRDefault="00914D13" w:rsidP="00914D13">
      <w:pPr>
        <w:ind w:left="792" w:hanging="684"/>
        <w:contextualSpacing/>
        <w:jc w:val="both"/>
        <w:rPr>
          <w:sz w:val="20"/>
          <w:szCs w:val="20"/>
          <w:lang w:bidi="en-US"/>
        </w:rPr>
      </w:pPr>
    </w:p>
    <w:p w14:paraId="2ADFD7CE" w14:textId="77777777" w:rsidR="00914D13" w:rsidRPr="00D11BDA" w:rsidRDefault="00914D13" w:rsidP="00914D13">
      <w:pPr>
        <w:numPr>
          <w:ilvl w:val="1"/>
          <w:numId w:val="7"/>
        </w:numPr>
        <w:ind w:hanging="684"/>
        <w:contextualSpacing/>
        <w:jc w:val="both"/>
        <w:rPr>
          <w:color w:val="000000"/>
          <w:sz w:val="20"/>
          <w:szCs w:val="20"/>
          <w:lang w:bidi="en-US"/>
        </w:rPr>
      </w:pPr>
      <w:r w:rsidRPr="00D11BDA">
        <w:rPr>
          <w:color w:val="000000"/>
          <w:sz w:val="20"/>
          <w:szCs w:val="20"/>
          <w:lang w:bidi="en-US"/>
        </w:rPr>
        <w:t>Vendor may retain title and interest to the data furnished and/or generated by Vendor pursuant to the Agreement but only to the extent that retention of such title and interest does not conflict with the State’s rights to the materials, information and documents developed in performing the Services. The State shall have a perpetual, nontransferable, non-exclusive, paid-up right and license to use, copy, modify and prepare derivative works of all materials in which Vendor retains title, whether individually by Vendor or jointly with the State. The parties will cooperate with each other and execute such other documents as may be reasonably deemed necessary to achieve the objectives of this Section.</w:t>
      </w:r>
    </w:p>
    <w:p w14:paraId="6866CB35" w14:textId="77777777" w:rsidR="00914D13" w:rsidRPr="00D11BDA" w:rsidRDefault="00914D13" w:rsidP="00914D13">
      <w:pPr>
        <w:ind w:left="360"/>
        <w:contextualSpacing/>
        <w:jc w:val="both"/>
        <w:rPr>
          <w:sz w:val="20"/>
          <w:szCs w:val="20"/>
          <w:highlight w:val="yellow"/>
          <w:lang w:bidi="en-US"/>
        </w:rPr>
      </w:pPr>
    </w:p>
    <w:p w14:paraId="4A8E9422"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Warranty.</w:t>
      </w:r>
    </w:p>
    <w:p w14:paraId="5AD5BB0F" w14:textId="77777777" w:rsidR="00914D13" w:rsidRPr="00D11BDA" w:rsidRDefault="00914D13" w:rsidP="00914D13">
      <w:pPr>
        <w:ind w:left="360"/>
        <w:contextualSpacing/>
        <w:jc w:val="both"/>
        <w:rPr>
          <w:sz w:val="20"/>
          <w:szCs w:val="20"/>
          <w:lang w:bidi="en-US"/>
        </w:rPr>
      </w:pPr>
    </w:p>
    <w:p w14:paraId="54761F1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warrants that the Services will be performed in a good and </w:t>
      </w:r>
      <w:proofErr w:type="gramStart"/>
      <w:r w:rsidRPr="00D11BDA">
        <w:rPr>
          <w:color w:val="000000"/>
          <w:sz w:val="20"/>
          <w:szCs w:val="20"/>
          <w:lang w:bidi="en-US"/>
        </w:rPr>
        <w:t>workmanlike</w:t>
      </w:r>
      <w:proofErr w:type="gramEnd"/>
      <w:r w:rsidRPr="00D11BDA">
        <w:rPr>
          <w:color w:val="000000"/>
          <w:sz w:val="20"/>
          <w:szCs w:val="20"/>
          <w:lang w:bidi="en-US"/>
        </w:rPr>
        <w:t xml:space="preserve"> manner and in accordance with industry standards.  Vendor represents that all equipment provided by Vendor in connection with the Services shall be operational and fit for the purpose provided.  Vendor agrees to re-perform any Services, correct work product and fix or replace equipment not in compliance with this warranty.</w:t>
      </w:r>
    </w:p>
    <w:p w14:paraId="5292A93D" w14:textId="77777777" w:rsidR="00914D13" w:rsidRPr="00D11BDA" w:rsidRDefault="00914D13" w:rsidP="00914D13">
      <w:pPr>
        <w:ind w:left="792" w:hanging="684"/>
        <w:contextualSpacing/>
        <w:jc w:val="both"/>
        <w:rPr>
          <w:sz w:val="20"/>
          <w:szCs w:val="20"/>
          <w:lang w:bidi="en-US"/>
        </w:rPr>
      </w:pPr>
    </w:p>
    <w:p w14:paraId="5F736FBC"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Third-party products within the scope of the Agreement, if any, </w:t>
      </w:r>
      <w:proofErr w:type="gramStart"/>
      <w:r w:rsidRPr="00D11BDA">
        <w:rPr>
          <w:color w:val="000000"/>
          <w:sz w:val="20"/>
          <w:szCs w:val="20"/>
          <w:lang w:bidi="en-US"/>
        </w:rPr>
        <w:t>are warranted</w:t>
      </w:r>
      <w:proofErr w:type="gramEnd"/>
      <w:r w:rsidRPr="00D11BDA">
        <w:rPr>
          <w:color w:val="000000"/>
          <w:sz w:val="20"/>
          <w:szCs w:val="20"/>
          <w:lang w:bidi="en-US"/>
        </w:rPr>
        <w:t xml:space="preserve"> solely under the terms and conditions of the licenses or other agreements by which such products are governed. With respect to all third-party products and services purchased by Vendor for the State in connection with the provision of the Services, Vendor shall assign to the State all rights Vendor obtains from the manufacturers and/or vendors of such products and services (including warranty and indemnification rights), to the extent that such rights are assignable.</w:t>
      </w:r>
    </w:p>
    <w:p w14:paraId="6A9272AF" w14:textId="77777777" w:rsidR="00914D13" w:rsidRPr="00D11BDA" w:rsidRDefault="00914D13" w:rsidP="00914D13">
      <w:pPr>
        <w:ind w:left="792"/>
        <w:contextualSpacing/>
        <w:jc w:val="both"/>
        <w:rPr>
          <w:sz w:val="20"/>
          <w:szCs w:val="20"/>
          <w:lang w:bidi="en-US"/>
        </w:rPr>
      </w:pPr>
    </w:p>
    <w:p w14:paraId="0F46994A"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Indemnification; Limitation of Liability.</w:t>
      </w:r>
    </w:p>
    <w:p w14:paraId="22736D13" w14:textId="77777777" w:rsidR="00914D13" w:rsidRPr="00D11BDA" w:rsidRDefault="00914D13" w:rsidP="00914D13">
      <w:pPr>
        <w:ind w:left="360"/>
        <w:contextualSpacing/>
        <w:jc w:val="both"/>
        <w:rPr>
          <w:sz w:val="20"/>
          <w:szCs w:val="20"/>
          <w:lang w:bidi="en-US"/>
        </w:rPr>
      </w:pPr>
    </w:p>
    <w:p w14:paraId="412C266D"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color w:val="000000"/>
          <w:sz w:val="20"/>
          <w:szCs w:val="20"/>
          <w:lang w:bidi="en-US"/>
        </w:rPr>
        <w:t>The Board, the State and their respective officers, agents and employees shall have no obligation to indemnify Vendor or its officers, members, agents or employees for any liability, suits, actions, claims, costs or expenses (including attorneys’ fees), brought against or incurred by Vendor, including, without limitation, any suit, action, claim, cost or expense arising out of or relating to the Agreement.</w:t>
      </w:r>
      <w:proofErr w:type="gramEnd"/>
    </w:p>
    <w:p w14:paraId="55CB0A19" w14:textId="77777777" w:rsidR="00914D13" w:rsidRPr="00D11BDA" w:rsidRDefault="00914D13" w:rsidP="00914D13">
      <w:pPr>
        <w:contextualSpacing/>
        <w:jc w:val="both"/>
        <w:rPr>
          <w:sz w:val="20"/>
          <w:szCs w:val="20"/>
          <w:lang w:bidi="en-US"/>
        </w:rPr>
      </w:pPr>
    </w:p>
    <w:p w14:paraId="694F4D80"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color w:val="000000"/>
          <w:sz w:val="20"/>
          <w:szCs w:val="20"/>
          <w:lang w:bidi="en-US"/>
        </w:rPr>
        <w:t>Vendor shall indemnify and hold harmless the Board, the State and their respective officers, members, agents and employees, from any and all liability, suits, actions or claims, together with all reasonable costs and expenses (including attorneys’ fees), brought or asserted by third parties based in whole or in part on the negligent, reckless, intentional or other tortious, fraudulent, or unlawful conduct of the Vendor or its officers, agents or employees in the performance of Services or otherwise arising out of or relating to the Agreement.</w:t>
      </w:r>
      <w:proofErr w:type="gramEnd"/>
      <w:r w:rsidRPr="00D11BDA">
        <w:rPr>
          <w:color w:val="000000"/>
          <w:sz w:val="20"/>
          <w:szCs w:val="20"/>
          <w:lang w:bidi="en-US"/>
        </w:rPr>
        <w:t xml:space="preserve">  If the State notifies Vendor in writing of such third-party claim, Vendor </w:t>
      </w:r>
      <w:proofErr w:type="gramStart"/>
      <w:r w:rsidRPr="00D11BDA">
        <w:rPr>
          <w:color w:val="000000"/>
          <w:sz w:val="20"/>
          <w:szCs w:val="20"/>
          <w:lang w:bidi="en-US"/>
        </w:rPr>
        <w:t>will, at the State’s option, defend</w:t>
      </w:r>
      <w:proofErr w:type="gramEnd"/>
      <w:r w:rsidRPr="00D11BDA">
        <w:rPr>
          <w:color w:val="000000"/>
          <w:sz w:val="20"/>
          <w:szCs w:val="20"/>
          <w:lang w:bidi="en-US"/>
        </w:rPr>
        <w:t xml:space="preserve"> such claim at its expense.  Vendor will pay all damages, costs and expenses that may be finally awarded against the Board, the State, or their respective officers, members, agents or employees, without regard to whether the State exercises the option referenced in the preceding sentence.</w:t>
      </w:r>
    </w:p>
    <w:p w14:paraId="225D2156" w14:textId="77777777" w:rsidR="00914D13" w:rsidRPr="00D11BDA" w:rsidRDefault="00914D13" w:rsidP="00914D13">
      <w:pPr>
        <w:ind w:left="720"/>
        <w:rPr>
          <w:color w:val="000000"/>
          <w:sz w:val="20"/>
          <w:szCs w:val="20"/>
          <w:lang w:bidi="en-US"/>
        </w:rPr>
      </w:pPr>
    </w:p>
    <w:p w14:paraId="69D4A10E"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color w:val="000000"/>
          <w:sz w:val="20"/>
          <w:szCs w:val="20"/>
          <w:lang w:bidi="en-US"/>
        </w:rPr>
        <w:t>Except for fees that may be due and owing in respect of Services, and notwithstanding anything to the contrary in the Agreement, the Board, the State and their respective officers, members, agents and employees shall have no liability for any damages, whether direct or indirect, compensatory or punitive, actual or consequential, arising out of or related in any way to performance of the Agreement, including, without limitation, damages for breach of contract.</w:t>
      </w:r>
      <w:proofErr w:type="gramEnd"/>
    </w:p>
    <w:p w14:paraId="1D33747F" w14:textId="77777777" w:rsidR="00914D13" w:rsidRPr="00D11BDA" w:rsidRDefault="00914D13" w:rsidP="00914D13">
      <w:pPr>
        <w:ind w:left="720"/>
        <w:rPr>
          <w:color w:val="000000"/>
          <w:sz w:val="20"/>
          <w:szCs w:val="20"/>
          <w:lang w:bidi="en-US"/>
        </w:rPr>
      </w:pPr>
    </w:p>
    <w:p w14:paraId="5A0900E1" w14:textId="77777777" w:rsidR="00574DA3" w:rsidRDefault="00914D13" w:rsidP="00914D13">
      <w:pPr>
        <w:numPr>
          <w:ilvl w:val="1"/>
          <w:numId w:val="7"/>
        </w:numPr>
        <w:ind w:hanging="684"/>
        <w:contextualSpacing/>
        <w:jc w:val="both"/>
        <w:rPr>
          <w:color w:val="000000"/>
          <w:sz w:val="20"/>
          <w:szCs w:val="20"/>
          <w:lang w:bidi="en-US"/>
        </w:rPr>
      </w:pPr>
      <w:r w:rsidRPr="00D11BDA">
        <w:rPr>
          <w:color w:val="000000"/>
          <w:sz w:val="20"/>
          <w:szCs w:val="20"/>
          <w:lang w:bidi="en-US"/>
        </w:rPr>
        <w:t>The Board, the State and their respective officers, members, agents and employees expressly reserve all rights, claims, arguments, defenses and immunities, including, without limitation, claims or defenses based on sovereign immunity, qualified immunity and other statutory or common law rights, claims, defenses or immunities.</w:t>
      </w:r>
      <w:r w:rsidR="00574DA3">
        <w:rPr>
          <w:color w:val="000000"/>
          <w:sz w:val="20"/>
          <w:szCs w:val="20"/>
          <w:lang w:bidi="en-US"/>
        </w:rPr>
        <w:br w:type="page"/>
      </w:r>
    </w:p>
    <w:p w14:paraId="2673A24A" w14:textId="77777777" w:rsidR="00914D13" w:rsidRPr="00D11BDA" w:rsidRDefault="00914D13" w:rsidP="00574DA3">
      <w:pPr>
        <w:ind w:left="450"/>
        <w:contextualSpacing/>
        <w:jc w:val="both"/>
        <w:rPr>
          <w:sz w:val="20"/>
          <w:szCs w:val="20"/>
          <w:lang w:bidi="en-US"/>
        </w:rPr>
      </w:pPr>
    </w:p>
    <w:p w14:paraId="3D25AF99" w14:textId="77777777" w:rsidR="00914D13" w:rsidRPr="00D11BDA" w:rsidRDefault="00914D13" w:rsidP="00914D13">
      <w:pPr>
        <w:contextualSpacing/>
        <w:jc w:val="both"/>
        <w:rPr>
          <w:sz w:val="20"/>
          <w:szCs w:val="20"/>
          <w:lang w:bidi="en-US"/>
        </w:rPr>
      </w:pPr>
    </w:p>
    <w:p w14:paraId="69CE5BB1"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Insurance.</w:t>
      </w:r>
    </w:p>
    <w:p w14:paraId="2CA090B6" w14:textId="77777777" w:rsidR="00914D13" w:rsidRPr="00D11BDA" w:rsidRDefault="00914D13" w:rsidP="00914D13">
      <w:pPr>
        <w:ind w:left="360"/>
        <w:contextualSpacing/>
        <w:jc w:val="both"/>
        <w:rPr>
          <w:sz w:val="20"/>
          <w:szCs w:val="20"/>
          <w:lang w:bidi="en-US"/>
        </w:rPr>
      </w:pPr>
    </w:p>
    <w:p w14:paraId="26DC4FD0"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Vendor shall maintain the following insurance during the term of the Agreement:</w:t>
      </w:r>
    </w:p>
    <w:p w14:paraId="6CEEB327" w14:textId="77777777" w:rsidR="00914D13" w:rsidRPr="00D11BDA" w:rsidRDefault="00914D13" w:rsidP="00914D13">
      <w:pPr>
        <w:ind w:left="792"/>
        <w:contextualSpacing/>
        <w:jc w:val="both"/>
        <w:rPr>
          <w:sz w:val="20"/>
          <w:szCs w:val="20"/>
          <w:lang w:bidi="en-US"/>
        </w:rPr>
      </w:pPr>
    </w:p>
    <w:p w14:paraId="1C5BE225"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Worker’s Compensation and Employer’s Liability Insurance in accordance with applicable law;</w:t>
      </w:r>
    </w:p>
    <w:p w14:paraId="0BFF6C67" w14:textId="77777777" w:rsidR="00914D13" w:rsidRPr="00D11BDA" w:rsidRDefault="00914D13" w:rsidP="00914D13">
      <w:pPr>
        <w:ind w:left="1080" w:hanging="360"/>
        <w:contextualSpacing/>
        <w:jc w:val="both"/>
        <w:rPr>
          <w:sz w:val="20"/>
          <w:szCs w:val="20"/>
          <w:lang w:bidi="en-US"/>
        </w:rPr>
      </w:pPr>
    </w:p>
    <w:p w14:paraId="60EE5F6B"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Comprehensive General Liability—$1,000,000.00 per occurrence/$3,000,000 per aggregate;</w:t>
      </w:r>
    </w:p>
    <w:p w14:paraId="33CF67F6" w14:textId="77777777" w:rsidR="00914D13" w:rsidRPr="00D11BDA" w:rsidRDefault="00914D13" w:rsidP="00914D13">
      <w:pPr>
        <w:ind w:left="1080" w:hanging="360"/>
        <w:contextualSpacing/>
        <w:jc w:val="both"/>
        <w:rPr>
          <w:sz w:val="20"/>
          <w:szCs w:val="20"/>
          <w:lang w:bidi="en-US"/>
        </w:rPr>
      </w:pPr>
    </w:p>
    <w:p w14:paraId="36D404E9"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Professional Liability—$5,000,000.00 per occurrence/$5,000,000 per aggregate;</w:t>
      </w:r>
    </w:p>
    <w:p w14:paraId="7ECD2F7D" w14:textId="77777777" w:rsidR="00914D13" w:rsidRPr="00D11BDA" w:rsidRDefault="00914D13" w:rsidP="00914D13">
      <w:pPr>
        <w:ind w:left="1080" w:hanging="360"/>
        <w:contextualSpacing/>
        <w:jc w:val="both"/>
        <w:rPr>
          <w:sz w:val="20"/>
          <w:szCs w:val="20"/>
          <w:lang w:bidi="en-US"/>
        </w:rPr>
      </w:pPr>
    </w:p>
    <w:p w14:paraId="20A3CE3D"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Miscellaneous Errors and Omissions—$1,000,000.00 per occurrence/$3,000,000 per aggregate; and</w:t>
      </w:r>
    </w:p>
    <w:p w14:paraId="472BCF81" w14:textId="77777777" w:rsidR="00914D13" w:rsidRPr="00D11BDA" w:rsidRDefault="00914D13" w:rsidP="00914D13">
      <w:pPr>
        <w:ind w:left="1080" w:hanging="360"/>
        <w:contextualSpacing/>
        <w:jc w:val="both"/>
        <w:rPr>
          <w:sz w:val="20"/>
          <w:szCs w:val="20"/>
          <w:lang w:bidi="en-US"/>
        </w:rPr>
      </w:pPr>
    </w:p>
    <w:p w14:paraId="76C45D6E"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Automotive Liability Insurance covering all automotive units used in the work with limits of not less than $100,000 for each person and $300,000 for each accident as to bodily injury and $25,000 as to property damage to others.</w:t>
      </w:r>
    </w:p>
    <w:p w14:paraId="66412F6F" w14:textId="77777777" w:rsidR="00914D13" w:rsidRPr="00D11BDA" w:rsidRDefault="00914D13" w:rsidP="00914D13">
      <w:pPr>
        <w:ind w:left="720"/>
        <w:rPr>
          <w:sz w:val="20"/>
          <w:szCs w:val="20"/>
          <w:lang w:bidi="en-US"/>
        </w:rPr>
      </w:pPr>
    </w:p>
    <w:p w14:paraId="6DC59382" w14:textId="77777777" w:rsidR="00924C95" w:rsidRPr="00D11BDA" w:rsidRDefault="00914D13" w:rsidP="00924C95">
      <w:pPr>
        <w:numPr>
          <w:ilvl w:val="0"/>
          <w:numId w:val="9"/>
        </w:numPr>
        <w:contextualSpacing/>
        <w:jc w:val="both"/>
        <w:rPr>
          <w:sz w:val="20"/>
          <w:szCs w:val="20"/>
          <w:lang w:bidi="en-US"/>
        </w:rPr>
      </w:pPr>
      <w:proofErr w:type="gramStart"/>
      <w:r w:rsidRPr="00D11BDA">
        <w:rPr>
          <w:sz w:val="20"/>
          <w:szCs w:val="20"/>
          <w:lang w:bidi="en-US"/>
        </w:rPr>
        <w:t>Cyber Liability –</w:t>
      </w:r>
      <w:r w:rsidR="009279C5" w:rsidRPr="00D11BDA">
        <w:rPr>
          <w:sz w:val="20"/>
          <w:szCs w:val="20"/>
        </w:rPr>
        <w:t xml:space="preserve"> </w:t>
      </w:r>
      <w:r w:rsidR="00924C95" w:rsidRPr="00D11BDA">
        <w:rPr>
          <w:sz w:val="20"/>
          <w:szCs w:val="20"/>
          <w:lang w:bidi="en-US"/>
        </w:rPr>
        <w:t>Data such as names, addresses, phone numbers, email addresses, social security numbers, dates of birth, driver’s license numbers, financial and banking data, federal and state tax information, and other personally identifiable information maintained by Vendor under the Agreement (collectively, “PII”) shall be encrypted at rest with validated cryptography standards as specified in National Institute of Standards and Technology FIPS140-2 Security Requirements.</w:t>
      </w:r>
      <w:proofErr w:type="gramEnd"/>
      <w:r w:rsidR="00924C95" w:rsidRPr="00D11BDA">
        <w:rPr>
          <w:sz w:val="20"/>
          <w:szCs w:val="20"/>
          <w:lang w:bidi="en-US"/>
        </w:rPr>
        <w:t xml:space="preserve"> If the Vendor cannot offer encryption at rest, the Vendor must maintain cyber security liability insurance coverage for any loss resulting from a data breach. The policy, if required, </w:t>
      </w:r>
      <w:proofErr w:type="gramStart"/>
      <w:r w:rsidR="00924C95" w:rsidRPr="00D11BDA">
        <w:rPr>
          <w:sz w:val="20"/>
          <w:szCs w:val="20"/>
          <w:lang w:bidi="en-US"/>
        </w:rPr>
        <w:t>shall be issued</w:t>
      </w:r>
      <w:proofErr w:type="gramEnd"/>
      <w:r w:rsidR="00924C95" w:rsidRPr="00D11BDA">
        <w:rPr>
          <w:sz w:val="20"/>
          <w:szCs w:val="20"/>
          <w:lang w:bidi="en-US"/>
        </w:rPr>
        <w:t xml:space="preserve"> by an insurance company acceptable to the State and shall remain in place as set forth below for the term of the Agreement, inclusive of any extension(s), or for as long as the Vendor possesses or controls PII, whichever is longer.</w:t>
      </w:r>
      <w:r w:rsidR="00924C95" w:rsidRPr="00D11BDA">
        <w:rPr>
          <w:sz w:val="20"/>
          <w:szCs w:val="20"/>
        </w:rPr>
        <w:t xml:space="preserve"> </w:t>
      </w:r>
    </w:p>
    <w:p w14:paraId="4FB8C86E" w14:textId="77777777" w:rsidR="00924C95" w:rsidRPr="00D11BDA" w:rsidRDefault="00924C95" w:rsidP="00924C95">
      <w:pPr>
        <w:contextualSpacing/>
        <w:jc w:val="both"/>
        <w:rPr>
          <w:sz w:val="20"/>
          <w:szCs w:val="20"/>
        </w:rPr>
      </w:pPr>
    </w:p>
    <w:p w14:paraId="7EEDF481" w14:textId="77777777" w:rsidR="00924C95" w:rsidRPr="00D11BDA" w:rsidRDefault="00924C95" w:rsidP="00924C95">
      <w:pPr>
        <w:ind w:left="1080"/>
        <w:contextualSpacing/>
        <w:jc w:val="both"/>
        <w:rPr>
          <w:sz w:val="20"/>
          <w:szCs w:val="20"/>
          <w:lang w:bidi="en-US"/>
        </w:rPr>
      </w:pPr>
      <w:r w:rsidRPr="00D11BDA">
        <w:rPr>
          <w:sz w:val="20"/>
          <w:szCs w:val="20"/>
          <w:lang w:bidi="en-US"/>
        </w:rPr>
        <w:t xml:space="preserve">Levels of cyber liability insurance required </w:t>
      </w:r>
      <w:proofErr w:type="gramStart"/>
      <w:r w:rsidRPr="00D11BDA">
        <w:rPr>
          <w:sz w:val="20"/>
          <w:szCs w:val="20"/>
          <w:lang w:bidi="en-US"/>
        </w:rPr>
        <w:t>are based</w:t>
      </w:r>
      <w:proofErr w:type="gramEnd"/>
      <w:r w:rsidRPr="00D11BDA">
        <w:rPr>
          <w:sz w:val="20"/>
          <w:szCs w:val="20"/>
          <w:lang w:bidi="en-US"/>
        </w:rPr>
        <w:t xml:space="preserve"> on the number of records with PII anticipated to be possessed or controlled by Vendor in connection with the Agreement. Should the actual number of PII records exceed the anticipated number, it is the Vendor’s responsibility to ensure that sufficient coverage </w:t>
      </w:r>
      <w:proofErr w:type="gramStart"/>
      <w:r w:rsidRPr="00D11BDA">
        <w:rPr>
          <w:sz w:val="20"/>
          <w:szCs w:val="20"/>
          <w:lang w:bidi="en-US"/>
        </w:rPr>
        <w:t>is obtained</w:t>
      </w:r>
      <w:proofErr w:type="gramEnd"/>
      <w:r w:rsidRPr="00D11BDA">
        <w:rPr>
          <w:sz w:val="20"/>
          <w:szCs w:val="20"/>
          <w:lang w:bidi="en-US"/>
        </w:rPr>
        <w:t xml:space="preserve"> (see table below). In the event that Vendor fails to obtain sufficient coverage, Vendor shall be liable to cover damages </w:t>
      </w:r>
      <w:r w:rsidR="001627A2" w:rsidRPr="00D11BDA">
        <w:rPr>
          <w:sz w:val="20"/>
          <w:szCs w:val="20"/>
          <w:lang w:bidi="en-US"/>
        </w:rPr>
        <w:t>and shall indemnify the State for any damages, cost or expenses beyond the coverage amount.</w:t>
      </w:r>
    </w:p>
    <w:p w14:paraId="09CA032F" w14:textId="77777777" w:rsidR="00914D13" w:rsidRPr="00D11BDA" w:rsidRDefault="00914D13" w:rsidP="00914D13">
      <w:pPr>
        <w:ind w:left="1080"/>
        <w:contextualSpacing/>
        <w:jc w:val="both"/>
        <w:rPr>
          <w:sz w:val="20"/>
          <w:szCs w:val="20"/>
          <w:highlight w:val="yellow"/>
          <w:lang w:bidi="en-US"/>
        </w:rPr>
      </w:pPr>
    </w:p>
    <w:p w14:paraId="25E8E18A" w14:textId="77777777" w:rsidR="00914D13" w:rsidRPr="00D11BDA" w:rsidRDefault="00924C95" w:rsidP="00914D13">
      <w:pPr>
        <w:ind w:left="1080"/>
        <w:contextualSpacing/>
        <w:jc w:val="both"/>
        <w:rPr>
          <w:sz w:val="20"/>
          <w:szCs w:val="20"/>
          <w:highlight w:val="yellow"/>
          <w:lang w:bidi="en-US"/>
        </w:rPr>
      </w:pPr>
      <w:r w:rsidRPr="00D11BDA">
        <w:rPr>
          <w:noProof/>
          <w:sz w:val="20"/>
          <w:szCs w:val="20"/>
        </w:rPr>
        <w:drawing>
          <wp:inline distT="0" distB="0" distL="0" distR="0" wp14:anchorId="62FDBE48" wp14:editId="3B79AA4C">
            <wp:extent cx="4886325" cy="1552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86325" cy="1552575"/>
                    </a:xfrm>
                    <a:prstGeom prst="rect">
                      <a:avLst/>
                    </a:prstGeom>
                  </pic:spPr>
                </pic:pic>
              </a:graphicData>
            </a:graphic>
          </wp:inline>
        </w:drawing>
      </w:r>
    </w:p>
    <w:p w14:paraId="72213F33" w14:textId="77777777" w:rsidR="00924C95" w:rsidRPr="00D11BDA" w:rsidRDefault="00924C95" w:rsidP="00914D13">
      <w:pPr>
        <w:ind w:left="1080"/>
        <w:contextualSpacing/>
        <w:jc w:val="both"/>
        <w:rPr>
          <w:sz w:val="20"/>
          <w:szCs w:val="20"/>
          <w:highlight w:val="yellow"/>
          <w:lang w:bidi="en-US"/>
        </w:rPr>
      </w:pPr>
    </w:p>
    <w:p w14:paraId="00828017" w14:textId="77777777" w:rsidR="00924C95" w:rsidRPr="00D11BDA" w:rsidRDefault="00924C95" w:rsidP="00924C95">
      <w:pPr>
        <w:ind w:left="1080"/>
        <w:contextualSpacing/>
        <w:jc w:val="both"/>
        <w:rPr>
          <w:sz w:val="20"/>
          <w:szCs w:val="20"/>
          <w:lang w:bidi="en-US"/>
        </w:rPr>
      </w:pPr>
      <w:r w:rsidRPr="00D11BDA">
        <w:rPr>
          <w:sz w:val="20"/>
          <w:szCs w:val="20"/>
          <w:lang w:bidi="en-US"/>
        </w:rPr>
        <w:t>The policy shall include but not be limited to, coverage for liabilities relating to Vendor’s or any independent contractor’s or subcontractor’s premises, operations, products, completed operations, or conduct relating to the Agreement. At a minimum, the policy must include third-party coverage for credit monitoring, notification costs to data breach victims, and regulatory penalties and fines. The policy shall include a provision requiring that Vendor, as a condition precedent to the termination of the policy, provide thirty days’ written notice to the State prior to the effective date of termination. Vendor shall be responsible for any deductible or self-insured retention contained in the insurance policy. The coverage under the policy shall be primary, and not excess, to any other insurance carried by the Vendor.</w:t>
      </w:r>
    </w:p>
    <w:p w14:paraId="2978AFE0" w14:textId="77777777" w:rsidR="00924C95" w:rsidRPr="00D11BDA" w:rsidRDefault="00924C95" w:rsidP="00924C95">
      <w:pPr>
        <w:ind w:left="1080"/>
        <w:contextualSpacing/>
        <w:jc w:val="both"/>
        <w:rPr>
          <w:sz w:val="20"/>
          <w:szCs w:val="20"/>
          <w:lang w:bidi="en-US"/>
        </w:rPr>
      </w:pPr>
    </w:p>
    <w:p w14:paraId="15FFDCBA" w14:textId="77777777" w:rsidR="00914D13" w:rsidRPr="00D11BDA" w:rsidRDefault="00914D13" w:rsidP="00924C95">
      <w:pPr>
        <w:pStyle w:val="ListParagraph"/>
        <w:numPr>
          <w:ilvl w:val="0"/>
          <w:numId w:val="9"/>
        </w:numPr>
        <w:contextualSpacing/>
        <w:jc w:val="both"/>
        <w:rPr>
          <w:sz w:val="20"/>
          <w:szCs w:val="20"/>
          <w:lang w:bidi="en-US"/>
        </w:rPr>
      </w:pPr>
      <w:r w:rsidRPr="00D11BDA">
        <w:rPr>
          <w:sz w:val="20"/>
          <w:szCs w:val="20"/>
          <w:lang w:bidi="en-US"/>
        </w:rPr>
        <w:t xml:space="preserve">Excess/Umbrella policy - </w:t>
      </w:r>
      <w:r w:rsidR="00924C95" w:rsidRPr="00D11BDA">
        <w:rPr>
          <w:sz w:val="20"/>
          <w:szCs w:val="20"/>
          <w:lang w:bidi="en-US"/>
        </w:rPr>
        <w:t>Excess/Umbrella $10,000,000 total (sits above underlying worker’s compensation and employer’s liability, general liability, professional liability, miscellaneous errors and omissions, automotive liability, and cyber liability).</w:t>
      </w:r>
    </w:p>
    <w:p w14:paraId="13C37AF7" w14:textId="77777777" w:rsidR="00914D13" w:rsidRPr="00D11BDA" w:rsidRDefault="00914D13" w:rsidP="00914D13">
      <w:pPr>
        <w:ind w:left="1080"/>
        <w:contextualSpacing/>
        <w:jc w:val="both"/>
        <w:rPr>
          <w:sz w:val="20"/>
          <w:szCs w:val="20"/>
          <w:lang w:bidi="en-US"/>
        </w:rPr>
      </w:pPr>
    </w:p>
    <w:p w14:paraId="4D511814"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Should any of the </w:t>
      </w:r>
      <w:proofErr w:type="gramStart"/>
      <w:r w:rsidRPr="00D11BDA">
        <w:rPr>
          <w:sz w:val="20"/>
          <w:szCs w:val="20"/>
          <w:lang w:bidi="en-US"/>
        </w:rPr>
        <w:t>above described</w:t>
      </w:r>
      <w:proofErr w:type="gramEnd"/>
      <w:r w:rsidRPr="00D11BDA">
        <w:rPr>
          <w:sz w:val="20"/>
          <w:szCs w:val="20"/>
          <w:lang w:bidi="en-US"/>
        </w:rPr>
        <w:t xml:space="preserve"> policies be cancelled before the expiration date thereof, notice will be delivered to the State. Failure to maintain required insurance at all times is an event of default and constitutes grounds for terminating the Agreement.</w:t>
      </w:r>
    </w:p>
    <w:p w14:paraId="3B159E41" w14:textId="77777777" w:rsidR="00914D13" w:rsidRPr="00D11BDA" w:rsidRDefault="00914D13" w:rsidP="00914D13">
      <w:pPr>
        <w:ind w:left="792" w:hanging="684"/>
        <w:contextualSpacing/>
        <w:jc w:val="both"/>
        <w:rPr>
          <w:sz w:val="20"/>
          <w:szCs w:val="20"/>
          <w:lang w:bidi="en-US"/>
        </w:rPr>
      </w:pPr>
    </w:p>
    <w:p w14:paraId="476503D2"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Before any work </w:t>
      </w:r>
      <w:proofErr w:type="gramStart"/>
      <w:r w:rsidRPr="00D11BDA">
        <w:rPr>
          <w:sz w:val="20"/>
          <w:szCs w:val="20"/>
          <w:lang w:bidi="en-US"/>
        </w:rPr>
        <w:t>is done</w:t>
      </w:r>
      <w:proofErr w:type="gramEnd"/>
      <w:r w:rsidRPr="00D11BDA">
        <w:rPr>
          <w:sz w:val="20"/>
          <w:szCs w:val="20"/>
          <w:lang w:bidi="en-US"/>
        </w:rPr>
        <w:t xml:space="preserve"> pursuant to the Agreement, certificate</w:t>
      </w:r>
      <w:r w:rsidR="00FA44F1" w:rsidRPr="00D11BDA">
        <w:rPr>
          <w:sz w:val="20"/>
          <w:szCs w:val="20"/>
          <w:lang w:bidi="en-US"/>
        </w:rPr>
        <w:t>s</w:t>
      </w:r>
      <w:r w:rsidRPr="00D11BDA">
        <w:rPr>
          <w:sz w:val="20"/>
          <w:szCs w:val="20"/>
          <w:lang w:bidi="en-US"/>
        </w:rPr>
        <w:t xml:space="preserve"> of insurance for the insurance policies specified above shall be provided to the State.  The certificates shall reference the contract number, TRE18101-BANKINGSERVCS, and identify the certificate holder as follows:</w:t>
      </w:r>
    </w:p>
    <w:p w14:paraId="095071D3" w14:textId="77777777" w:rsidR="00914D13" w:rsidRPr="00D11BDA" w:rsidRDefault="00914D13" w:rsidP="00914D13">
      <w:pPr>
        <w:ind w:left="792"/>
        <w:contextualSpacing/>
        <w:jc w:val="both"/>
        <w:rPr>
          <w:sz w:val="20"/>
          <w:szCs w:val="20"/>
          <w:lang w:bidi="en-US"/>
        </w:rPr>
      </w:pPr>
    </w:p>
    <w:p w14:paraId="6E2B59A8" w14:textId="77777777" w:rsidR="00914D13" w:rsidRPr="00D11BDA" w:rsidRDefault="00914D13" w:rsidP="00914D13">
      <w:pPr>
        <w:ind w:left="1080"/>
        <w:jc w:val="both"/>
        <w:rPr>
          <w:b/>
          <w:sz w:val="20"/>
          <w:szCs w:val="20"/>
        </w:rPr>
      </w:pPr>
      <w:r w:rsidRPr="00D11BDA">
        <w:rPr>
          <w:b/>
          <w:sz w:val="20"/>
          <w:szCs w:val="20"/>
        </w:rPr>
        <w:t>Office of the State Treasurer</w:t>
      </w:r>
    </w:p>
    <w:p w14:paraId="101B701B" w14:textId="77777777" w:rsidR="00914D13" w:rsidRPr="00D11BDA" w:rsidRDefault="00914D13" w:rsidP="00914D13">
      <w:pPr>
        <w:ind w:left="1080"/>
        <w:jc w:val="both"/>
        <w:rPr>
          <w:b/>
          <w:sz w:val="20"/>
          <w:szCs w:val="20"/>
          <w:lang w:val="fr-FR"/>
        </w:rPr>
      </w:pPr>
      <w:r w:rsidRPr="00D11BDA">
        <w:rPr>
          <w:b/>
          <w:sz w:val="20"/>
          <w:szCs w:val="20"/>
          <w:lang w:val="fr-FR"/>
        </w:rPr>
        <w:t xml:space="preserve">820 </w:t>
      </w:r>
      <w:proofErr w:type="spellStart"/>
      <w:r w:rsidRPr="00D11BDA">
        <w:rPr>
          <w:b/>
          <w:sz w:val="20"/>
          <w:szCs w:val="20"/>
          <w:lang w:val="fr-FR"/>
        </w:rPr>
        <w:t>Silver</w:t>
      </w:r>
      <w:proofErr w:type="spellEnd"/>
      <w:r w:rsidRPr="00D11BDA">
        <w:rPr>
          <w:b/>
          <w:sz w:val="20"/>
          <w:szCs w:val="20"/>
          <w:lang w:val="fr-FR"/>
        </w:rPr>
        <w:t xml:space="preserve"> Lake </w:t>
      </w:r>
      <w:proofErr w:type="spellStart"/>
      <w:r w:rsidRPr="00D11BDA">
        <w:rPr>
          <w:b/>
          <w:sz w:val="20"/>
          <w:szCs w:val="20"/>
          <w:lang w:val="fr-FR"/>
        </w:rPr>
        <w:t>Blvd</w:t>
      </w:r>
      <w:proofErr w:type="spellEnd"/>
      <w:r w:rsidRPr="00D11BDA">
        <w:rPr>
          <w:b/>
          <w:sz w:val="20"/>
          <w:szCs w:val="20"/>
          <w:lang w:val="fr-FR"/>
        </w:rPr>
        <w:t>., Suite 100</w:t>
      </w:r>
    </w:p>
    <w:p w14:paraId="07A868D8" w14:textId="77777777" w:rsidR="00914D13" w:rsidRPr="00D11BDA" w:rsidRDefault="00914D13" w:rsidP="00914D13">
      <w:pPr>
        <w:ind w:left="1080"/>
        <w:jc w:val="both"/>
        <w:rPr>
          <w:b/>
          <w:sz w:val="20"/>
          <w:szCs w:val="20"/>
          <w:lang w:val="fr-FR"/>
        </w:rPr>
      </w:pPr>
      <w:r w:rsidRPr="00D11BDA">
        <w:rPr>
          <w:b/>
          <w:sz w:val="20"/>
          <w:szCs w:val="20"/>
          <w:lang w:val="fr-FR"/>
        </w:rPr>
        <w:t>Dover</w:t>
      </w:r>
      <w:r w:rsidR="00AB5F0D" w:rsidRPr="00D11BDA">
        <w:rPr>
          <w:b/>
          <w:sz w:val="20"/>
          <w:szCs w:val="20"/>
          <w:lang w:val="fr-FR"/>
        </w:rPr>
        <w:t>,</w:t>
      </w:r>
      <w:r w:rsidRPr="00D11BDA">
        <w:rPr>
          <w:b/>
          <w:sz w:val="20"/>
          <w:szCs w:val="20"/>
          <w:lang w:val="fr-FR"/>
        </w:rPr>
        <w:t xml:space="preserve"> DE  19904</w:t>
      </w:r>
    </w:p>
    <w:p w14:paraId="62CAE050" w14:textId="77777777" w:rsidR="00914D13" w:rsidRPr="00D11BDA" w:rsidRDefault="00914D13" w:rsidP="00914D13">
      <w:pPr>
        <w:ind w:left="792"/>
        <w:contextualSpacing/>
        <w:jc w:val="both"/>
        <w:rPr>
          <w:sz w:val="20"/>
          <w:szCs w:val="20"/>
          <w:lang w:bidi="en-US"/>
        </w:rPr>
      </w:pPr>
    </w:p>
    <w:p w14:paraId="1C0C3F99"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In no event </w:t>
      </w:r>
      <w:proofErr w:type="gramStart"/>
      <w:r w:rsidRPr="00D11BDA">
        <w:rPr>
          <w:sz w:val="20"/>
          <w:szCs w:val="20"/>
          <w:lang w:bidi="en-US"/>
        </w:rPr>
        <w:t xml:space="preserve">shall the Board, the State, </w:t>
      </w:r>
      <w:r w:rsidRPr="00D11BDA">
        <w:rPr>
          <w:color w:val="000000"/>
          <w:sz w:val="20"/>
          <w:szCs w:val="20"/>
          <w:lang w:bidi="en-US"/>
        </w:rPr>
        <w:t xml:space="preserve">or their respective officers, members, agents or employees, </w:t>
      </w:r>
      <w:r w:rsidRPr="00D11BDA">
        <w:rPr>
          <w:sz w:val="20"/>
          <w:szCs w:val="20"/>
          <w:lang w:bidi="en-US"/>
        </w:rPr>
        <w:t>be named</w:t>
      </w:r>
      <w:proofErr w:type="gramEnd"/>
      <w:r w:rsidRPr="00D11BDA">
        <w:rPr>
          <w:sz w:val="20"/>
          <w:szCs w:val="20"/>
          <w:lang w:bidi="en-US"/>
        </w:rPr>
        <w:t xml:space="preserve"> as an additional insured on any policy required under the Agreement.</w:t>
      </w:r>
    </w:p>
    <w:p w14:paraId="1CF07E97" w14:textId="77777777" w:rsidR="00914D13" w:rsidRPr="00D11BDA" w:rsidRDefault="00914D13" w:rsidP="00914D13">
      <w:pPr>
        <w:contextualSpacing/>
        <w:jc w:val="both"/>
        <w:rPr>
          <w:sz w:val="20"/>
          <w:szCs w:val="20"/>
          <w:lang w:bidi="en-US"/>
        </w:rPr>
      </w:pPr>
    </w:p>
    <w:p w14:paraId="51352E90"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Independent Contractor.</w:t>
      </w:r>
    </w:p>
    <w:p w14:paraId="00481DA3" w14:textId="77777777" w:rsidR="00914D13" w:rsidRPr="00D11BDA" w:rsidRDefault="00914D13" w:rsidP="00914D13">
      <w:pPr>
        <w:ind w:left="360"/>
        <w:contextualSpacing/>
        <w:jc w:val="both"/>
        <w:rPr>
          <w:sz w:val="20"/>
          <w:szCs w:val="20"/>
          <w:lang w:bidi="en-US"/>
        </w:rPr>
      </w:pPr>
    </w:p>
    <w:p w14:paraId="69A5A917"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It is understood that in the performance of the Services, Vendor shall be, and is, an independent contractor, and is not an agent or employee of the Board or the State and shall furnish such Services in its own manner and method except as required by the Agreement.  </w:t>
      </w:r>
    </w:p>
    <w:p w14:paraId="1354BE03" w14:textId="77777777" w:rsidR="00914D13" w:rsidRPr="00D11BDA" w:rsidRDefault="00914D13" w:rsidP="00914D13">
      <w:pPr>
        <w:ind w:left="864" w:hanging="684"/>
        <w:contextualSpacing/>
        <w:jc w:val="both"/>
        <w:rPr>
          <w:sz w:val="20"/>
          <w:szCs w:val="20"/>
          <w:lang w:bidi="en-US"/>
        </w:rPr>
      </w:pPr>
    </w:p>
    <w:p w14:paraId="350A351C"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has and shall retain the right to exercise full control over the employment, direction, compensation and discharge of all persons employed by Vendor in the performance of the Servi</w:t>
      </w:r>
      <w:r w:rsidR="00475CD3" w:rsidRPr="00D11BDA">
        <w:rPr>
          <w:color w:val="000000"/>
          <w:sz w:val="20"/>
          <w:szCs w:val="20"/>
          <w:lang w:bidi="en-US"/>
        </w:rPr>
        <w:t xml:space="preserve">ces; provided, however, that vendor </w:t>
      </w:r>
      <w:r w:rsidRPr="00D11BDA">
        <w:rPr>
          <w:color w:val="000000"/>
          <w:sz w:val="20"/>
          <w:szCs w:val="20"/>
          <w:lang w:bidi="en-US"/>
        </w:rPr>
        <w:t>will, subject to scheduling and staffing considerations, attempt to honor the State’s request for specific individuals.</w:t>
      </w:r>
    </w:p>
    <w:p w14:paraId="63A4399A" w14:textId="77777777" w:rsidR="00914D13" w:rsidRPr="00D11BDA" w:rsidRDefault="00914D13" w:rsidP="00914D13">
      <w:pPr>
        <w:ind w:left="720" w:hanging="684"/>
        <w:contextualSpacing/>
        <w:jc w:val="both"/>
        <w:rPr>
          <w:sz w:val="20"/>
          <w:szCs w:val="20"/>
          <w:lang w:bidi="en-US"/>
        </w:rPr>
      </w:pPr>
    </w:p>
    <w:p w14:paraId="2E42BF42"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shall be solely responsible for, and shall indemnify, defend and hold the Board, the State and their respective officers, members, agents and employees harmless from all matters relating to the payment of its employees, including compliance with Social Security, withholding and all other wages, salaries, benefits, taxes, exactions, and regulations of any nature whatsoever.</w:t>
      </w:r>
    </w:p>
    <w:p w14:paraId="51B0198C" w14:textId="77777777" w:rsidR="00914D13" w:rsidRPr="00D11BDA" w:rsidRDefault="00914D13" w:rsidP="00914D13">
      <w:pPr>
        <w:ind w:left="792" w:hanging="684"/>
        <w:contextualSpacing/>
        <w:jc w:val="both"/>
        <w:rPr>
          <w:sz w:val="20"/>
          <w:szCs w:val="20"/>
          <w:lang w:bidi="en-US"/>
        </w:rPr>
      </w:pPr>
    </w:p>
    <w:p w14:paraId="6BD0F024"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color w:val="000000"/>
          <w:sz w:val="20"/>
          <w:szCs w:val="20"/>
          <w:lang w:bidi="en-US"/>
        </w:rPr>
        <w:t>Vendor acknowledges that Vendor and any agents or employees employed by Vendor shall not, under any circumstances, be considered employees of Delaware, and that they shall not be entitled to any of the compensation, benefits or rights afforded employees of Delaware, including, but not limited to, sick leave, vacation leave, holiday pay, Public Employees’ Retirement System benefits, or health, life, dental, long-term disability or workers’ compensation insurance benefits.</w:t>
      </w:r>
      <w:proofErr w:type="gramEnd"/>
    </w:p>
    <w:p w14:paraId="49997E94" w14:textId="77777777" w:rsidR="00914D13" w:rsidRPr="00D11BDA" w:rsidRDefault="00914D13" w:rsidP="00914D13">
      <w:pPr>
        <w:ind w:left="792" w:hanging="684"/>
        <w:contextualSpacing/>
        <w:jc w:val="both"/>
        <w:rPr>
          <w:sz w:val="20"/>
          <w:szCs w:val="20"/>
          <w:lang w:bidi="en-US"/>
        </w:rPr>
      </w:pPr>
    </w:p>
    <w:p w14:paraId="2099C404"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shall be responsible for providing liability insurance for its personnel.</w:t>
      </w:r>
    </w:p>
    <w:p w14:paraId="46019589" w14:textId="77777777" w:rsidR="00914D13" w:rsidRPr="00D11BDA" w:rsidRDefault="00914D13" w:rsidP="00914D13">
      <w:pPr>
        <w:ind w:left="792" w:hanging="684"/>
        <w:contextualSpacing/>
        <w:jc w:val="both"/>
        <w:rPr>
          <w:sz w:val="20"/>
          <w:szCs w:val="20"/>
          <w:lang w:bidi="en-US"/>
        </w:rPr>
      </w:pPr>
    </w:p>
    <w:p w14:paraId="45D2789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As an independent contractor, Vendor has no authority to bind or commit the Board or the State.  Nothing </w:t>
      </w:r>
      <w:proofErr w:type="gramStart"/>
      <w:r w:rsidRPr="00D11BDA">
        <w:rPr>
          <w:color w:val="000000"/>
          <w:sz w:val="20"/>
          <w:szCs w:val="20"/>
          <w:lang w:bidi="en-US"/>
        </w:rPr>
        <w:t>herein shall be deemed or construed to create a joint ventu</w:t>
      </w:r>
      <w:r w:rsidR="00475CD3" w:rsidRPr="00D11BDA">
        <w:rPr>
          <w:color w:val="000000"/>
          <w:sz w:val="20"/>
          <w:szCs w:val="20"/>
          <w:lang w:bidi="en-US"/>
        </w:rPr>
        <w:t xml:space="preserve">re, partnership, or </w:t>
      </w:r>
      <w:r w:rsidRPr="00D11BDA">
        <w:rPr>
          <w:color w:val="000000"/>
          <w:sz w:val="20"/>
          <w:szCs w:val="20"/>
          <w:lang w:bidi="en-US"/>
        </w:rPr>
        <w:t>agency relationship between the parties for any purpose</w:t>
      </w:r>
      <w:proofErr w:type="gramEnd"/>
      <w:r w:rsidRPr="00D11BDA">
        <w:rPr>
          <w:color w:val="000000"/>
          <w:sz w:val="20"/>
          <w:szCs w:val="20"/>
          <w:lang w:bidi="en-US"/>
        </w:rPr>
        <w:t>.</w:t>
      </w:r>
    </w:p>
    <w:p w14:paraId="36683DAD" w14:textId="77777777" w:rsidR="00914D13" w:rsidRPr="00D11BDA" w:rsidRDefault="00914D13" w:rsidP="00914D13">
      <w:pPr>
        <w:ind w:left="792"/>
        <w:contextualSpacing/>
        <w:jc w:val="both"/>
        <w:rPr>
          <w:sz w:val="20"/>
          <w:szCs w:val="20"/>
          <w:lang w:bidi="en-US"/>
        </w:rPr>
      </w:pPr>
    </w:p>
    <w:p w14:paraId="5812D802"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 xml:space="preserve">Termination. </w:t>
      </w:r>
    </w:p>
    <w:p w14:paraId="65F5AD79" w14:textId="77777777" w:rsidR="00914D13" w:rsidRPr="00D11BDA" w:rsidRDefault="00914D13" w:rsidP="00914D13">
      <w:pPr>
        <w:ind w:left="360"/>
        <w:contextualSpacing/>
        <w:jc w:val="both"/>
        <w:rPr>
          <w:sz w:val="20"/>
          <w:szCs w:val="20"/>
          <w:lang w:bidi="en-US"/>
        </w:rPr>
      </w:pPr>
    </w:p>
    <w:p w14:paraId="1D0CF89D"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Agreement </w:t>
      </w:r>
      <w:proofErr w:type="gramStart"/>
      <w:r w:rsidRPr="00D11BDA">
        <w:rPr>
          <w:color w:val="000000"/>
          <w:sz w:val="20"/>
          <w:szCs w:val="20"/>
          <w:lang w:bidi="en-US"/>
        </w:rPr>
        <w:t>may be terminated</w:t>
      </w:r>
      <w:proofErr w:type="gramEnd"/>
      <w:r w:rsidRPr="00D11BDA">
        <w:rPr>
          <w:color w:val="000000"/>
          <w:sz w:val="20"/>
          <w:szCs w:val="20"/>
          <w:lang w:bidi="en-US"/>
        </w:rPr>
        <w:t xml:space="preserve"> by either party for default of the other party that is not cured within ten (10) business days after the non-defaulting party provides the defaulting party with written notice of default and demand for cure in accordance with the notice provisions of the Agreement.  Default shall mean the failure of the other party to fulfill a material obligation under the Agreement</w:t>
      </w:r>
      <w:r w:rsidR="0024295B" w:rsidRPr="00D11BDA">
        <w:rPr>
          <w:color w:val="000000"/>
          <w:sz w:val="20"/>
          <w:szCs w:val="20"/>
          <w:lang w:bidi="en-US"/>
        </w:rPr>
        <w:t>.</w:t>
      </w:r>
    </w:p>
    <w:p w14:paraId="15AA69F7" w14:textId="77777777" w:rsidR="00914D13" w:rsidRPr="00D11BDA" w:rsidRDefault="00914D13" w:rsidP="00914D13">
      <w:pPr>
        <w:contextualSpacing/>
        <w:jc w:val="both"/>
        <w:rPr>
          <w:sz w:val="20"/>
          <w:szCs w:val="20"/>
          <w:lang w:bidi="en-US"/>
        </w:rPr>
      </w:pPr>
      <w:r w:rsidRPr="00D11BDA">
        <w:rPr>
          <w:color w:val="000000"/>
          <w:sz w:val="20"/>
          <w:szCs w:val="20"/>
          <w:lang w:bidi="en-US"/>
        </w:rPr>
        <w:t>.</w:t>
      </w:r>
    </w:p>
    <w:p w14:paraId="45AFF4C8" w14:textId="77777777" w:rsidR="00914D13" w:rsidRPr="00D11BDA" w:rsidRDefault="00914D13" w:rsidP="00914D13">
      <w:pPr>
        <w:ind w:left="1080"/>
        <w:contextualSpacing/>
        <w:jc w:val="both"/>
        <w:rPr>
          <w:sz w:val="20"/>
          <w:szCs w:val="20"/>
          <w:lang w:bidi="en-US"/>
        </w:rPr>
      </w:pPr>
    </w:p>
    <w:p w14:paraId="0A4E8483"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Agreement may be terminated in whole or in part by the State for its convenience, but only after Vendor is given </w:t>
      </w:r>
      <w:proofErr w:type="gramStart"/>
      <w:r w:rsidRPr="00D11BDA">
        <w:rPr>
          <w:color w:val="000000"/>
          <w:sz w:val="20"/>
          <w:szCs w:val="20"/>
          <w:lang w:bidi="en-US"/>
        </w:rPr>
        <w:t>thirty (30</w:t>
      </w:r>
      <w:proofErr w:type="gramEnd"/>
      <w:r w:rsidRPr="00D11BDA">
        <w:rPr>
          <w:color w:val="000000"/>
          <w:sz w:val="20"/>
          <w:szCs w:val="20"/>
          <w:lang w:bidi="en-US"/>
        </w:rPr>
        <w:t>) business days written notice of intent to terminate.</w:t>
      </w:r>
    </w:p>
    <w:p w14:paraId="013E3FA1" w14:textId="77777777" w:rsidR="00914D13" w:rsidRPr="00D11BDA" w:rsidRDefault="00914D13" w:rsidP="00914D13">
      <w:pPr>
        <w:ind w:left="1080"/>
        <w:contextualSpacing/>
        <w:jc w:val="both"/>
        <w:rPr>
          <w:sz w:val="20"/>
          <w:szCs w:val="20"/>
          <w:lang w:bidi="en-US"/>
        </w:rPr>
      </w:pPr>
    </w:p>
    <w:p w14:paraId="4C1BB324"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If termination is effected, the State will pay Vendor that portion of compensation which has been earned as of the effective date of termination, but:</w:t>
      </w:r>
    </w:p>
    <w:p w14:paraId="5DB459FF" w14:textId="77777777" w:rsidR="00914D13" w:rsidRPr="00D11BDA" w:rsidRDefault="00914D13" w:rsidP="00914D13">
      <w:pPr>
        <w:ind w:left="792"/>
        <w:contextualSpacing/>
        <w:jc w:val="both"/>
        <w:rPr>
          <w:sz w:val="20"/>
          <w:szCs w:val="20"/>
          <w:lang w:bidi="en-US"/>
        </w:rPr>
      </w:pPr>
    </w:p>
    <w:p w14:paraId="6AED82D8" w14:textId="77777777" w:rsidR="00914D13" w:rsidRPr="00D11BDA" w:rsidRDefault="00914D13" w:rsidP="00914D13">
      <w:pPr>
        <w:numPr>
          <w:ilvl w:val="0"/>
          <w:numId w:val="15"/>
        </w:numPr>
        <w:contextualSpacing/>
        <w:jc w:val="both"/>
        <w:rPr>
          <w:sz w:val="20"/>
          <w:szCs w:val="20"/>
          <w:lang w:bidi="en-US"/>
        </w:rPr>
      </w:pPr>
      <w:r w:rsidRPr="00D11BDA">
        <w:rPr>
          <w:color w:val="000000"/>
          <w:sz w:val="20"/>
          <w:szCs w:val="20"/>
          <w:lang w:bidi="en-US"/>
        </w:rPr>
        <w:t>No amount shall be allowed for anticipated profit on performed or unperformed Services or other work;</w:t>
      </w:r>
    </w:p>
    <w:p w14:paraId="34C1984C" w14:textId="77777777" w:rsidR="00914D13" w:rsidRPr="00D11BDA" w:rsidRDefault="00914D13" w:rsidP="00914D13">
      <w:pPr>
        <w:ind w:left="1080" w:hanging="270"/>
        <w:contextualSpacing/>
        <w:jc w:val="both"/>
        <w:rPr>
          <w:sz w:val="20"/>
          <w:szCs w:val="20"/>
          <w:lang w:bidi="en-US"/>
        </w:rPr>
      </w:pPr>
    </w:p>
    <w:p w14:paraId="01FC70F5" w14:textId="77777777" w:rsidR="00914D13" w:rsidRPr="00D11BDA" w:rsidRDefault="00914D13" w:rsidP="00914D13">
      <w:pPr>
        <w:numPr>
          <w:ilvl w:val="0"/>
          <w:numId w:val="15"/>
        </w:numPr>
        <w:contextualSpacing/>
        <w:jc w:val="both"/>
        <w:rPr>
          <w:sz w:val="20"/>
          <w:szCs w:val="20"/>
          <w:lang w:bidi="en-US"/>
        </w:rPr>
      </w:pPr>
      <w:r w:rsidRPr="00D11BDA">
        <w:rPr>
          <w:color w:val="000000"/>
          <w:sz w:val="20"/>
          <w:szCs w:val="20"/>
          <w:lang w:bidi="en-US"/>
        </w:rPr>
        <w:t>Any payment due to Vendor at the time of termination may be adjusted or withheld to the extent of any offset or recoupment rights, including, without limitation, amounts for liability or costs occasioned to the Board or the State by reason of Vendor’s default or otherwise attributable to the conduct of Vendor or its officers, agents or employees; and</w:t>
      </w:r>
    </w:p>
    <w:p w14:paraId="4C861635" w14:textId="77777777" w:rsidR="00914D13" w:rsidRPr="00D11BDA" w:rsidRDefault="00914D13" w:rsidP="00914D13">
      <w:pPr>
        <w:ind w:left="1080" w:hanging="270"/>
        <w:contextualSpacing/>
        <w:jc w:val="both"/>
        <w:rPr>
          <w:sz w:val="20"/>
          <w:szCs w:val="20"/>
          <w:lang w:bidi="en-US"/>
        </w:rPr>
      </w:pPr>
    </w:p>
    <w:p w14:paraId="4F0ED9BB"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In the event the Vendor ceases conducting business, the State shall have the right to make an unsolicited offer of employment to any officers or employees of Vendor assigned to the performance of the Agreement.</w:t>
      </w:r>
    </w:p>
    <w:p w14:paraId="07C3A9B0" w14:textId="77777777" w:rsidR="00914D13" w:rsidRPr="00D11BDA" w:rsidRDefault="00914D13" w:rsidP="00914D13">
      <w:pPr>
        <w:ind w:left="1080"/>
        <w:contextualSpacing/>
        <w:jc w:val="both"/>
        <w:rPr>
          <w:sz w:val="20"/>
          <w:szCs w:val="20"/>
          <w:lang w:bidi="en-US"/>
        </w:rPr>
      </w:pPr>
    </w:p>
    <w:p w14:paraId="785174BD" w14:textId="77777777" w:rsidR="00914D13" w:rsidRPr="00D11BDA" w:rsidRDefault="00914D13" w:rsidP="00914D13">
      <w:pPr>
        <w:numPr>
          <w:ilvl w:val="1"/>
          <w:numId w:val="7"/>
        </w:numPr>
        <w:ind w:hanging="684"/>
        <w:contextualSpacing/>
        <w:jc w:val="both"/>
        <w:rPr>
          <w:sz w:val="20"/>
          <w:szCs w:val="20"/>
        </w:rPr>
      </w:pPr>
      <w:r w:rsidRPr="00D11BDA">
        <w:rPr>
          <w:sz w:val="20"/>
          <w:szCs w:val="20"/>
        </w:rPr>
        <w:t xml:space="preserve">Upon termination, for cause or convenience, the State may immediately retain another vendor to perform the Services, and Vendor shall commence providing transition services.  Vendor shall at all times cooperate in the transition and shall perform, at no cost to the State, such transition services as the State in its sole and absolute discretion shall determine are necessary or appropriate to enable the transition of Services to a successor vendor or vendors.  Vendor’s obligation to provide transition services shall survive termination and shall continue until such date as </w:t>
      </w:r>
      <w:proofErr w:type="gramStart"/>
      <w:r w:rsidRPr="00D11BDA">
        <w:rPr>
          <w:sz w:val="20"/>
          <w:szCs w:val="20"/>
        </w:rPr>
        <w:t>is communicated</w:t>
      </w:r>
      <w:proofErr w:type="gramEnd"/>
      <w:r w:rsidRPr="00D11BDA">
        <w:rPr>
          <w:sz w:val="20"/>
          <w:szCs w:val="20"/>
        </w:rPr>
        <w:t xml:space="preserve"> in writing to Vendor that such services are no longer needed. Transition services shall include:</w:t>
      </w:r>
    </w:p>
    <w:p w14:paraId="67F87284" w14:textId="77777777" w:rsidR="00914D13" w:rsidRPr="00D11BDA" w:rsidRDefault="00914D13" w:rsidP="00914D13">
      <w:pPr>
        <w:ind w:left="720"/>
        <w:rPr>
          <w:sz w:val="20"/>
          <w:szCs w:val="20"/>
        </w:rPr>
      </w:pPr>
    </w:p>
    <w:p w14:paraId="414E1588" w14:textId="77777777" w:rsidR="00914D13" w:rsidRPr="00D11BDA" w:rsidRDefault="00914D13" w:rsidP="00F9017F">
      <w:pPr>
        <w:numPr>
          <w:ilvl w:val="0"/>
          <w:numId w:val="170"/>
        </w:numPr>
        <w:contextualSpacing/>
        <w:jc w:val="both"/>
        <w:rPr>
          <w:sz w:val="20"/>
          <w:szCs w:val="20"/>
        </w:rPr>
      </w:pPr>
      <w:r w:rsidRPr="00D11BDA">
        <w:rPr>
          <w:sz w:val="20"/>
          <w:szCs w:val="20"/>
        </w:rPr>
        <w:t>Maintain current support levels without any degradation of services;</w:t>
      </w:r>
    </w:p>
    <w:p w14:paraId="6B9CEB9A" w14:textId="77777777" w:rsidR="00F9017F" w:rsidRPr="00D11BDA" w:rsidRDefault="00F9017F" w:rsidP="00F9017F">
      <w:pPr>
        <w:ind w:left="1080"/>
        <w:contextualSpacing/>
        <w:jc w:val="both"/>
        <w:rPr>
          <w:sz w:val="20"/>
          <w:szCs w:val="20"/>
        </w:rPr>
      </w:pPr>
    </w:p>
    <w:p w14:paraId="7E07740B" w14:textId="77777777" w:rsidR="00914D13" w:rsidRPr="00D11BDA" w:rsidRDefault="00914D13" w:rsidP="00F9017F">
      <w:pPr>
        <w:numPr>
          <w:ilvl w:val="0"/>
          <w:numId w:val="170"/>
        </w:numPr>
        <w:contextualSpacing/>
        <w:jc w:val="both"/>
        <w:rPr>
          <w:sz w:val="20"/>
          <w:szCs w:val="20"/>
        </w:rPr>
      </w:pPr>
      <w:r w:rsidRPr="00D11BDA">
        <w:rPr>
          <w:sz w:val="20"/>
          <w:szCs w:val="20"/>
        </w:rPr>
        <w:t>Production of reports and data extracts required to convert and reconcile accounts;</w:t>
      </w:r>
    </w:p>
    <w:p w14:paraId="7EFBC8FF" w14:textId="77777777" w:rsidR="00F9017F" w:rsidRPr="00D11BDA" w:rsidRDefault="00F9017F" w:rsidP="00F9017F">
      <w:pPr>
        <w:contextualSpacing/>
        <w:jc w:val="both"/>
        <w:rPr>
          <w:sz w:val="20"/>
          <w:szCs w:val="20"/>
        </w:rPr>
      </w:pPr>
    </w:p>
    <w:p w14:paraId="1C5ADA59" w14:textId="77777777" w:rsidR="00F9017F" w:rsidRPr="00D11BDA" w:rsidRDefault="00914D13" w:rsidP="00F9017F">
      <w:pPr>
        <w:numPr>
          <w:ilvl w:val="0"/>
          <w:numId w:val="170"/>
        </w:numPr>
        <w:contextualSpacing/>
        <w:jc w:val="both"/>
        <w:rPr>
          <w:sz w:val="20"/>
          <w:szCs w:val="20"/>
        </w:rPr>
      </w:pPr>
      <w:r w:rsidRPr="00D11BDA">
        <w:rPr>
          <w:sz w:val="20"/>
          <w:szCs w:val="20"/>
        </w:rPr>
        <w:t>Operational and technical resource support required for testing and conversion activities;</w:t>
      </w:r>
    </w:p>
    <w:p w14:paraId="6477379C" w14:textId="77777777" w:rsidR="00F9017F" w:rsidRPr="00D11BDA" w:rsidRDefault="00F9017F" w:rsidP="00F9017F">
      <w:pPr>
        <w:pStyle w:val="ListParagraph"/>
        <w:rPr>
          <w:sz w:val="20"/>
          <w:szCs w:val="20"/>
        </w:rPr>
      </w:pPr>
    </w:p>
    <w:p w14:paraId="4C9D4D1D" w14:textId="77777777" w:rsidR="00914D13" w:rsidRPr="00D11BDA" w:rsidRDefault="00914D13" w:rsidP="00F9017F">
      <w:pPr>
        <w:numPr>
          <w:ilvl w:val="0"/>
          <w:numId w:val="170"/>
        </w:numPr>
        <w:contextualSpacing/>
        <w:jc w:val="both"/>
        <w:rPr>
          <w:sz w:val="20"/>
          <w:szCs w:val="20"/>
        </w:rPr>
      </w:pPr>
      <w:r w:rsidRPr="00D11BDA">
        <w:rPr>
          <w:sz w:val="20"/>
          <w:szCs w:val="20"/>
        </w:rPr>
        <w:t>Availability for conversion meetings given reasonable advanced notice;</w:t>
      </w:r>
    </w:p>
    <w:p w14:paraId="49A42B86" w14:textId="77777777" w:rsidR="00F9017F" w:rsidRPr="00D11BDA" w:rsidRDefault="00F9017F" w:rsidP="00F9017F">
      <w:pPr>
        <w:ind w:left="1080"/>
        <w:contextualSpacing/>
        <w:jc w:val="both"/>
        <w:rPr>
          <w:sz w:val="20"/>
          <w:szCs w:val="20"/>
        </w:rPr>
      </w:pPr>
    </w:p>
    <w:p w14:paraId="3A26934A" w14:textId="77777777" w:rsidR="00914D13" w:rsidRPr="00D11BDA" w:rsidRDefault="00914D13" w:rsidP="00F9017F">
      <w:pPr>
        <w:numPr>
          <w:ilvl w:val="0"/>
          <w:numId w:val="170"/>
        </w:numPr>
        <w:contextualSpacing/>
        <w:jc w:val="both"/>
        <w:rPr>
          <w:sz w:val="20"/>
          <w:szCs w:val="20"/>
        </w:rPr>
      </w:pPr>
      <w:r w:rsidRPr="00D11BDA">
        <w:rPr>
          <w:sz w:val="20"/>
          <w:szCs w:val="20"/>
        </w:rPr>
        <w:t>Continued user access to systems and reports;</w:t>
      </w:r>
    </w:p>
    <w:p w14:paraId="74ED4F07" w14:textId="77777777" w:rsidR="00F9017F" w:rsidRPr="00D11BDA" w:rsidRDefault="00F9017F" w:rsidP="00F9017F">
      <w:pPr>
        <w:contextualSpacing/>
        <w:jc w:val="both"/>
        <w:rPr>
          <w:sz w:val="20"/>
          <w:szCs w:val="20"/>
        </w:rPr>
      </w:pPr>
    </w:p>
    <w:p w14:paraId="4EFDB4E1" w14:textId="77777777" w:rsidR="00914D13" w:rsidRPr="00D11BDA" w:rsidRDefault="00914D13" w:rsidP="00F9017F">
      <w:pPr>
        <w:numPr>
          <w:ilvl w:val="0"/>
          <w:numId w:val="170"/>
        </w:numPr>
        <w:contextualSpacing/>
        <w:jc w:val="both"/>
        <w:rPr>
          <w:sz w:val="20"/>
          <w:szCs w:val="20"/>
        </w:rPr>
      </w:pPr>
      <w:r w:rsidRPr="00D11BDA">
        <w:rPr>
          <w:sz w:val="20"/>
          <w:szCs w:val="20"/>
        </w:rPr>
        <w:t>Production of regular status updates advising the State of conversion preparations and progress;</w:t>
      </w:r>
    </w:p>
    <w:p w14:paraId="761106F5" w14:textId="77777777" w:rsidR="00F9017F" w:rsidRPr="00D11BDA" w:rsidRDefault="00F9017F" w:rsidP="00F9017F">
      <w:pPr>
        <w:contextualSpacing/>
        <w:jc w:val="both"/>
        <w:rPr>
          <w:sz w:val="20"/>
          <w:szCs w:val="20"/>
        </w:rPr>
      </w:pPr>
    </w:p>
    <w:p w14:paraId="0644E270" w14:textId="77777777" w:rsidR="00914D13" w:rsidRPr="00D11BDA" w:rsidRDefault="00914D13" w:rsidP="00F9017F">
      <w:pPr>
        <w:numPr>
          <w:ilvl w:val="0"/>
          <w:numId w:val="170"/>
        </w:numPr>
        <w:contextualSpacing/>
        <w:jc w:val="both"/>
        <w:rPr>
          <w:sz w:val="20"/>
          <w:szCs w:val="20"/>
        </w:rPr>
      </w:pPr>
      <w:r w:rsidRPr="00D11BDA">
        <w:rPr>
          <w:sz w:val="20"/>
          <w:szCs w:val="20"/>
        </w:rPr>
        <w:t>Support knowledge transfer activities, including the completion of requested templates, questionnaires, checklists, etc.; and</w:t>
      </w:r>
    </w:p>
    <w:p w14:paraId="1BAF98DD" w14:textId="77777777" w:rsidR="00F9017F" w:rsidRPr="00D11BDA" w:rsidRDefault="00F9017F" w:rsidP="00F9017F">
      <w:pPr>
        <w:contextualSpacing/>
        <w:jc w:val="both"/>
        <w:rPr>
          <w:sz w:val="20"/>
          <w:szCs w:val="20"/>
        </w:rPr>
      </w:pPr>
    </w:p>
    <w:p w14:paraId="3A881646" w14:textId="77777777" w:rsidR="00914D13" w:rsidRPr="00D11BDA" w:rsidRDefault="00914D13" w:rsidP="00F9017F">
      <w:pPr>
        <w:numPr>
          <w:ilvl w:val="0"/>
          <w:numId w:val="170"/>
        </w:numPr>
        <w:contextualSpacing/>
        <w:jc w:val="both"/>
        <w:rPr>
          <w:sz w:val="20"/>
          <w:szCs w:val="20"/>
        </w:rPr>
      </w:pPr>
      <w:r w:rsidRPr="00D11BDA">
        <w:rPr>
          <w:sz w:val="20"/>
          <w:szCs w:val="20"/>
        </w:rPr>
        <w:t xml:space="preserve">Documentation of known open issues and risks </w:t>
      </w:r>
      <w:proofErr w:type="gramStart"/>
      <w:r w:rsidRPr="00D11BDA">
        <w:rPr>
          <w:sz w:val="20"/>
          <w:szCs w:val="20"/>
        </w:rPr>
        <w:t>impacting</w:t>
      </w:r>
      <w:proofErr w:type="gramEnd"/>
      <w:r w:rsidRPr="00D11BDA">
        <w:rPr>
          <w:sz w:val="20"/>
          <w:szCs w:val="20"/>
        </w:rPr>
        <w:t xml:space="preserve"> State accounts or services.</w:t>
      </w:r>
    </w:p>
    <w:p w14:paraId="11CB59EB" w14:textId="77777777" w:rsidR="00914D13" w:rsidRPr="00D11BDA" w:rsidRDefault="00914D13" w:rsidP="00914D13">
      <w:pPr>
        <w:ind w:left="1080"/>
        <w:contextualSpacing/>
        <w:jc w:val="both"/>
        <w:rPr>
          <w:sz w:val="20"/>
          <w:szCs w:val="20"/>
          <w:lang w:bidi="en-US"/>
        </w:rPr>
      </w:pPr>
    </w:p>
    <w:p w14:paraId="414541B8"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If after termination for breach it is determined that Vendor has not so failed, the termination </w:t>
      </w:r>
      <w:proofErr w:type="gramStart"/>
      <w:r w:rsidRPr="00D11BDA">
        <w:rPr>
          <w:color w:val="000000"/>
          <w:sz w:val="20"/>
          <w:szCs w:val="20"/>
          <w:lang w:bidi="en-US"/>
        </w:rPr>
        <w:t>shall be deemed to have been effected</w:t>
      </w:r>
      <w:proofErr w:type="gramEnd"/>
      <w:r w:rsidRPr="00D11BDA">
        <w:rPr>
          <w:color w:val="000000"/>
          <w:sz w:val="20"/>
          <w:szCs w:val="20"/>
          <w:lang w:bidi="en-US"/>
        </w:rPr>
        <w:t xml:space="preserve"> for convenience.</w:t>
      </w:r>
    </w:p>
    <w:p w14:paraId="18F71646" w14:textId="77777777" w:rsidR="00914D13" w:rsidRPr="00D11BDA" w:rsidRDefault="00914D13" w:rsidP="00914D13">
      <w:pPr>
        <w:ind w:left="792"/>
        <w:contextualSpacing/>
        <w:jc w:val="both"/>
        <w:rPr>
          <w:sz w:val="20"/>
          <w:szCs w:val="20"/>
          <w:lang w:bidi="en-US"/>
        </w:rPr>
      </w:pPr>
    </w:p>
    <w:p w14:paraId="5A1E3A85"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The termination of the Agreement shall not terminate any rights or obligations that </w:t>
      </w:r>
      <w:proofErr w:type="gramStart"/>
      <w:r w:rsidRPr="00D11BDA">
        <w:rPr>
          <w:sz w:val="20"/>
          <w:szCs w:val="20"/>
          <w:lang w:bidi="en-US"/>
        </w:rPr>
        <w:t>are intend</w:t>
      </w:r>
      <w:r w:rsidR="00BE1076" w:rsidRPr="00D11BDA">
        <w:rPr>
          <w:sz w:val="20"/>
          <w:szCs w:val="20"/>
          <w:lang w:bidi="en-US"/>
        </w:rPr>
        <w:t>ed</w:t>
      </w:r>
      <w:proofErr w:type="gramEnd"/>
      <w:r w:rsidR="00BE1076" w:rsidRPr="00D11BDA">
        <w:rPr>
          <w:sz w:val="20"/>
          <w:szCs w:val="20"/>
          <w:lang w:bidi="en-US"/>
        </w:rPr>
        <w:t xml:space="preserve"> to extend beyond termination, including vendor’s transition obligations.</w:t>
      </w:r>
    </w:p>
    <w:p w14:paraId="54B7D7E8" w14:textId="77777777" w:rsidR="00914D13" w:rsidRPr="00D11BDA" w:rsidRDefault="00914D13" w:rsidP="00914D13">
      <w:pPr>
        <w:ind w:left="720"/>
        <w:rPr>
          <w:color w:val="000000"/>
          <w:sz w:val="20"/>
          <w:szCs w:val="20"/>
          <w:lang w:bidi="en-US"/>
        </w:rPr>
      </w:pPr>
    </w:p>
    <w:p w14:paraId="2BE2C616" w14:textId="77777777" w:rsidR="00574DA3" w:rsidRDefault="00914D13" w:rsidP="00914D13">
      <w:pPr>
        <w:numPr>
          <w:ilvl w:val="1"/>
          <w:numId w:val="7"/>
        </w:numPr>
        <w:ind w:hanging="684"/>
        <w:contextualSpacing/>
        <w:jc w:val="both"/>
        <w:rPr>
          <w:color w:val="000000"/>
          <w:sz w:val="20"/>
          <w:szCs w:val="20"/>
          <w:lang w:bidi="en-US"/>
        </w:rPr>
      </w:pPr>
      <w:r w:rsidRPr="00D11BDA">
        <w:rPr>
          <w:color w:val="000000"/>
          <w:sz w:val="20"/>
          <w:szCs w:val="20"/>
          <w:lang w:bidi="en-US"/>
        </w:rPr>
        <w:t xml:space="preserve">The rights and remedies of the State provided in this Section </w:t>
      </w:r>
      <w:proofErr w:type="gramStart"/>
      <w:r w:rsidRPr="00D11BDA">
        <w:rPr>
          <w:color w:val="000000"/>
          <w:sz w:val="20"/>
          <w:szCs w:val="20"/>
          <w:lang w:bidi="en-US"/>
        </w:rPr>
        <w:t>are in addition to any other rights and remedies provided</w:t>
      </w:r>
      <w:proofErr w:type="gramEnd"/>
      <w:r w:rsidRPr="00D11BDA">
        <w:rPr>
          <w:color w:val="000000"/>
          <w:sz w:val="20"/>
          <w:szCs w:val="20"/>
          <w:lang w:bidi="en-US"/>
        </w:rPr>
        <w:t xml:space="preserve"> by law or under the Agreement.</w:t>
      </w:r>
      <w:r w:rsidR="00574DA3">
        <w:rPr>
          <w:color w:val="000000"/>
          <w:sz w:val="20"/>
          <w:szCs w:val="20"/>
          <w:lang w:bidi="en-US"/>
        </w:rPr>
        <w:br w:type="page"/>
      </w:r>
    </w:p>
    <w:p w14:paraId="35D5F590" w14:textId="77777777" w:rsidR="00914D13" w:rsidRPr="00D11BDA" w:rsidRDefault="00914D13" w:rsidP="00574DA3">
      <w:pPr>
        <w:ind w:left="1134"/>
        <w:contextualSpacing/>
        <w:jc w:val="both"/>
        <w:rPr>
          <w:sz w:val="20"/>
          <w:szCs w:val="20"/>
          <w:lang w:bidi="en-US"/>
        </w:rPr>
      </w:pPr>
    </w:p>
    <w:p w14:paraId="6C3A584C" w14:textId="77777777" w:rsidR="00914D13" w:rsidRPr="00D11BDA" w:rsidRDefault="00914D13" w:rsidP="00914D13">
      <w:pPr>
        <w:ind w:left="792"/>
        <w:contextualSpacing/>
        <w:jc w:val="both"/>
        <w:rPr>
          <w:sz w:val="20"/>
          <w:szCs w:val="20"/>
          <w:lang w:bidi="en-US"/>
        </w:rPr>
      </w:pPr>
    </w:p>
    <w:p w14:paraId="155A444A" w14:textId="77777777" w:rsidR="00914D13" w:rsidRPr="00D11BDA" w:rsidRDefault="00914D13" w:rsidP="00914D13">
      <w:pPr>
        <w:numPr>
          <w:ilvl w:val="1"/>
          <w:numId w:val="7"/>
        </w:numPr>
        <w:ind w:hanging="684"/>
        <w:contextualSpacing/>
        <w:jc w:val="both"/>
        <w:rPr>
          <w:b/>
          <w:sz w:val="20"/>
          <w:szCs w:val="20"/>
          <w:lang w:bidi="en-US"/>
        </w:rPr>
      </w:pPr>
      <w:r w:rsidRPr="00D11BDA">
        <w:rPr>
          <w:b/>
          <w:sz w:val="20"/>
          <w:szCs w:val="20"/>
          <w:lang w:bidi="en-US"/>
        </w:rPr>
        <w:t>Document Retention &amp; Return</w:t>
      </w:r>
      <w:r w:rsidR="00BE1076" w:rsidRPr="00D11BDA">
        <w:rPr>
          <w:b/>
          <w:sz w:val="20"/>
          <w:szCs w:val="20"/>
          <w:lang w:bidi="en-US"/>
        </w:rPr>
        <w:t>.</w:t>
      </w:r>
    </w:p>
    <w:p w14:paraId="42FA74EB" w14:textId="77777777" w:rsidR="00914D13" w:rsidRPr="00D11BDA" w:rsidRDefault="00914D13" w:rsidP="00914D13">
      <w:pPr>
        <w:ind w:left="1080"/>
        <w:contextualSpacing/>
        <w:jc w:val="both"/>
        <w:rPr>
          <w:color w:val="000000"/>
          <w:sz w:val="20"/>
          <w:szCs w:val="20"/>
          <w:lang w:bidi="en-US"/>
        </w:rPr>
      </w:pPr>
    </w:p>
    <w:p w14:paraId="1D643164" w14:textId="77777777" w:rsidR="00914D13" w:rsidRPr="00D11BDA" w:rsidRDefault="00914D13" w:rsidP="00BE1076">
      <w:pPr>
        <w:ind w:left="1080"/>
        <w:contextualSpacing/>
        <w:jc w:val="both"/>
        <w:rPr>
          <w:color w:val="000000"/>
          <w:sz w:val="20"/>
          <w:szCs w:val="20"/>
          <w:lang w:bidi="en-US"/>
        </w:rPr>
      </w:pPr>
      <w:r w:rsidRPr="00D11BDA">
        <w:rPr>
          <w:color w:val="000000"/>
          <w:sz w:val="20"/>
          <w:szCs w:val="20"/>
          <w:lang w:bidi="en-US"/>
        </w:rPr>
        <w:t xml:space="preserve">The State shall have complete ownership of all material, both finished and unfinished, which is developed, prepared, assembled, or conceived by the Vendor pursuant to this Agreement, and all such material </w:t>
      </w:r>
      <w:proofErr w:type="gramStart"/>
      <w:r w:rsidRPr="00D11BDA">
        <w:rPr>
          <w:color w:val="000000"/>
          <w:sz w:val="20"/>
          <w:szCs w:val="20"/>
          <w:lang w:bidi="en-US"/>
        </w:rPr>
        <w:t>shall be considered</w:t>
      </w:r>
      <w:proofErr w:type="gramEnd"/>
      <w:r w:rsidRPr="00D11BDA">
        <w:rPr>
          <w:color w:val="000000"/>
          <w:sz w:val="20"/>
          <w:szCs w:val="20"/>
          <w:lang w:bidi="en-US"/>
        </w:rPr>
        <w:t xml:space="preserve"> "works made for hire." All such material </w:t>
      </w:r>
      <w:proofErr w:type="gramStart"/>
      <w:r w:rsidRPr="00D11BDA">
        <w:rPr>
          <w:color w:val="000000"/>
          <w:sz w:val="20"/>
          <w:szCs w:val="20"/>
          <w:lang w:bidi="en-US"/>
        </w:rPr>
        <w:t>shall be delivered</w:t>
      </w:r>
      <w:proofErr w:type="gramEnd"/>
      <w:r w:rsidRPr="00D11BDA">
        <w:rPr>
          <w:color w:val="000000"/>
          <w:sz w:val="20"/>
          <w:szCs w:val="20"/>
          <w:lang w:bidi="en-US"/>
        </w:rPr>
        <w:t xml:space="preserve"> to the State upon expiration or termination of this Agreement. The State, in its sole discretion, shall have the exclusive right to copyright any product, concept, or material developed, prepared, assembled, or conceived by the Vendor pursuant to this Agreement.</w:t>
      </w:r>
    </w:p>
    <w:p w14:paraId="27C790E3" w14:textId="77777777" w:rsidR="00914D13" w:rsidRPr="00D11BDA" w:rsidRDefault="00914D13" w:rsidP="00914D13">
      <w:pPr>
        <w:ind w:left="1080"/>
        <w:contextualSpacing/>
        <w:jc w:val="both"/>
        <w:rPr>
          <w:color w:val="000000"/>
          <w:sz w:val="20"/>
          <w:szCs w:val="20"/>
          <w:lang w:bidi="en-US"/>
        </w:rPr>
      </w:pPr>
    </w:p>
    <w:p w14:paraId="2E0E19DA" w14:textId="77777777" w:rsidR="00914D13" w:rsidRPr="00D11BDA" w:rsidRDefault="00914D13" w:rsidP="00914D13">
      <w:pPr>
        <w:numPr>
          <w:ilvl w:val="1"/>
          <w:numId w:val="7"/>
        </w:numPr>
        <w:ind w:hanging="684"/>
        <w:contextualSpacing/>
        <w:jc w:val="both"/>
        <w:rPr>
          <w:b/>
          <w:sz w:val="20"/>
          <w:szCs w:val="20"/>
          <w:lang w:bidi="en-US"/>
        </w:rPr>
      </w:pPr>
      <w:r w:rsidRPr="00D11BDA">
        <w:rPr>
          <w:b/>
          <w:color w:val="000000"/>
          <w:sz w:val="20"/>
          <w:szCs w:val="20"/>
          <w:lang w:bidi="en-US"/>
        </w:rPr>
        <w:t>Gratuities.</w:t>
      </w:r>
    </w:p>
    <w:p w14:paraId="6E027B50" w14:textId="77777777" w:rsidR="00914D13" w:rsidRPr="00D11BDA" w:rsidRDefault="00914D13" w:rsidP="00914D13">
      <w:pPr>
        <w:ind w:left="792"/>
        <w:contextualSpacing/>
        <w:jc w:val="both"/>
        <w:rPr>
          <w:sz w:val="20"/>
          <w:szCs w:val="20"/>
          <w:lang w:bidi="en-US"/>
        </w:rPr>
      </w:pPr>
    </w:p>
    <w:p w14:paraId="704191F6" w14:textId="77777777" w:rsidR="00914D13" w:rsidRPr="00D11BDA" w:rsidRDefault="00914D13" w:rsidP="00887F94">
      <w:pPr>
        <w:ind w:left="1080"/>
        <w:contextualSpacing/>
        <w:jc w:val="both"/>
        <w:rPr>
          <w:sz w:val="20"/>
          <w:szCs w:val="20"/>
          <w:lang w:bidi="en-US"/>
        </w:rPr>
      </w:pPr>
      <w:proofErr w:type="gramStart"/>
      <w:r w:rsidRPr="00D11BDA">
        <w:rPr>
          <w:color w:val="000000"/>
          <w:sz w:val="20"/>
          <w:szCs w:val="20"/>
          <w:lang w:bidi="en-US"/>
        </w:rPr>
        <w:t>The State may, by written notice to Vendor, terminate the Agreement without liability if it is found that gratuities (in the form of entertainment, gifts, or otherwise) were offered or given by Vendor or any agent or representative of Vendor to any officer or employee of the State with a view toward securing a contract or securing favorable treatment with respect to the awarding, amending or making of any determinations with respect to the Agreement.</w:t>
      </w:r>
      <w:proofErr w:type="gramEnd"/>
    </w:p>
    <w:p w14:paraId="1E898BC5" w14:textId="77777777" w:rsidR="00914D13" w:rsidRPr="00D11BDA" w:rsidRDefault="00914D13" w:rsidP="00914D13">
      <w:pPr>
        <w:contextualSpacing/>
        <w:jc w:val="both"/>
        <w:rPr>
          <w:sz w:val="20"/>
          <w:szCs w:val="20"/>
          <w:lang w:bidi="en-US"/>
        </w:rPr>
      </w:pPr>
    </w:p>
    <w:p w14:paraId="1DC3D2B8"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validity and enforceability of the Agreement is subject to appropriations by the General Assembly of the specific funds necessary for contract performance. The Agreement shall terminate and the State’s obligations under it shall cease at the end of the fiscal year in which the State fails to appropriate monies for the ensuing fiscal year sufficient for the payment of all </w:t>
      </w:r>
      <w:proofErr w:type="gramStart"/>
      <w:r w:rsidRPr="00D11BDA">
        <w:rPr>
          <w:color w:val="000000"/>
          <w:sz w:val="20"/>
          <w:szCs w:val="20"/>
          <w:lang w:bidi="en-US"/>
        </w:rPr>
        <w:t>amounts which</w:t>
      </w:r>
      <w:proofErr w:type="gramEnd"/>
      <w:r w:rsidRPr="00D11BDA">
        <w:rPr>
          <w:color w:val="000000"/>
          <w:sz w:val="20"/>
          <w:szCs w:val="20"/>
          <w:lang w:bidi="en-US"/>
        </w:rPr>
        <w:t xml:space="preserve"> will then become due.  The Agreement </w:t>
      </w:r>
      <w:proofErr w:type="gramStart"/>
      <w:r w:rsidRPr="00D11BDA">
        <w:rPr>
          <w:color w:val="000000"/>
          <w:sz w:val="20"/>
          <w:szCs w:val="20"/>
          <w:lang w:bidi="en-US"/>
        </w:rPr>
        <w:t>shall be deemed</w:t>
      </w:r>
      <w:proofErr w:type="gramEnd"/>
      <w:r w:rsidRPr="00D11BDA">
        <w:rPr>
          <w:color w:val="000000"/>
          <w:sz w:val="20"/>
          <w:szCs w:val="20"/>
          <w:lang w:bidi="en-US"/>
        </w:rPr>
        <w:t xml:space="preserve"> void and shall be unenforceable as to any obligation of </w:t>
      </w:r>
      <w:r w:rsidRPr="00D11BDA">
        <w:rPr>
          <w:sz w:val="20"/>
          <w:szCs w:val="20"/>
          <w:lang w:bidi="en-US"/>
        </w:rPr>
        <w:t xml:space="preserve">the State </w:t>
      </w:r>
      <w:r w:rsidRPr="00D11BDA">
        <w:rPr>
          <w:color w:val="000000"/>
          <w:sz w:val="20"/>
          <w:szCs w:val="20"/>
          <w:lang w:bidi="en-US"/>
        </w:rPr>
        <w:t>requiring the expenditure of money for which no specific appropriation has been made.</w:t>
      </w:r>
    </w:p>
    <w:p w14:paraId="7C77A1A0" w14:textId="77777777" w:rsidR="00914D13" w:rsidRPr="00D11BDA" w:rsidRDefault="00914D13" w:rsidP="00914D13">
      <w:pPr>
        <w:ind w:left="720"/>
        <w:rPr>
          <w:sz w:val="20"/>
          <w:szCs w:val="20"/>
          <w:lang w:bidi="en-US"/>
        </w:rPr>
      </w:pPr>
    </w:p>
    <w:p w14:paraId="14806D97" w14:textId="77777777" w:rsidR="00914D13" w:rsidRPr="00D11BDA" w:rsidRDefault="00914D13" w:rsidP="00914D13">
      <w:pPr>
        <w:numPr>
          <w:ilvl w:val="0"/>
          <w:numId w:val="7"/>
        </w:numPr>
        <w:contextualSpacing/>
        <w:jc w:val="both"/>
        <w:rPr>
          <w:b/>
          <w:bCs/>
          <w:color w:val="000000"/>
          <w:sz w:val="20"/>
          <w:szCs w:val="20"/>
          <w:lang w:bidi="en-US"/>
        </w:rPr>
      </w:pPr>
      <w:r w:rsidRPr="00D11BDA">
        <w:rPr>
          <w:b/>
          <w:bCs/>
          <w:color w:val="000000"/>
          <w:sz w:val="20"/>
          <w:szCs w:val="20"/>
          <w:lang w:bidi="en-US"/>
        </w:rPr>
        <w:t>Assignment; Subcontracts.</w:t>
      </w:r>
    </w:p>
    <w:p w14:paraId="1DF8F414" w14:textId="77777777" w:rsidR="00914D13" w:rsidRPr="00D11BDA" w:rsidRDefault="00914D13" w:rsidP="00914D13">
      <w:pPr>
        <w:contextualSpacing/>
        <w:jc w:val="both"/>
        <w:rPr>
          <w:sz w:val="20"/>
          <w:szCs w:val="20"/>
          <w:lang w:bidi="en-US"/>
        </w:rPr>
      </w:pPr>
    </w:p>
    <w:p w14:paraId="72B85BE9" w14:textId="77777777" w:rsidR="00914D13" w:rsidRPr="00D11BDA" w:rsidRDefault="00914D13" w:rsidP="00914D13">
      <w:pPr>
        <w:numPr>
          <w:ilvl w:val="1"/>
          <w:numId w:val="7"/>
        </w:numPr>
        <w:ind w:hanging="612"/>
        <w:contextualSpacing/>
        <w:jc w:val="both"/>
        <w:rPr>
          <w:color w:val="000000"/>
          <w:sz w:val="20"/>
          <w:szCs w:val="20"/>
          <w:lang w:bidi="en-US"/>
        </w:rPr>
      </w:pPr>
      <w:r w:rsidRPr="00D11BDA">
        <w:rPr>
          <w:color w:val="000000"/>
          <w:sz w:val="20"/>
          <w:szCs w:val="20"/>
          <w:lang w:bidi="en-US"/>
        </w:rPr>
        <w:t xml:space="preserve">Any attempt by Vendor to assign or otherwise transfer any interest in the Agreement without the prior written consent of the State shall be void.  </w:t>
      </w:r>
    </w:p>
    <w:p w14:paraId="25AADFC6" w14:textId="77777777" w:rsidR="00914D13" w:rsidRPr="00D11BDA" w:rsidRDefault="00914D13" w:rsidP="00914D13">
      <w:pPr>
        <w:ind w:left="1134"/>
        <w:contextualSpacing/>
        <w:jc w:val="both"/>
        <w:rPr>
          <w:color w:val="000000"/>
          <w:sz w:val="20"/>
          <w:szCs w:val="20"/>
          <w:lang w:bidi="en-US"/>
        </w:rPr>
      </w:pPr>
    </w:p>
    <w:p w14:paraId="27577896" w14:textId="77777777" w:rsidR="00914D13" w:rsidRPr="00D11BDA" w:rsidRDefault="00914D13" w:rsidP="00914D13">
      <w:pPr>
        <w:numPr>
          <w:ilvl w:val="1"/>
          <w:numId w:val="7"/>
        </w:numPr>
        <w:ind w:hanging="612"/>
        <w:contextualSpacing/>
        <w:jc w:val="both"/>
        <w:rPr>
          <w:color w:val="000000"/>
          <w:sz w:val="20"/>
          <w:szCs w:val="20"/>
          <w:lang w:bidi="en-US"/>
        </w:rPr>
      </w:pPr>
      <w:proofErr w:type="gramStart"/>
      <w:r w:rsidRPr="00D11BDA">
        <w:rPr>
          <w:color w:val="000000"/>
          <w:sz w:val="20"/>
          <w:szCs w:val="20"/>
          <w:lang w:bidi="en-US"/>
        </w:rPr>
        <w:t>Services specified by the Agreement shall not be subcontracted by Vendor</w:t>
      </w:r>
      <w:proofErr w:type="gramEnd"/>
      <w:r w:rsidRPr="00D11BDA">
        <w:rPr>
          <w:color w:val="000000"/>
          <w:sz w:val="20"/>
          <w:szCs w:val="20"/>
          <w:lang w:bidi="en-US"/>
        </w:rPr>
        <w:t xml:space="preserve"> without the prior written approval of the State.</w:t>
      </w:r>
    </w:p>
    <w:p w14:paraId="61B9DB2C" w14:textId="77777777" w:rsidR="00914D13" w:rsidRPr="00D11BDA" w:rsidRDefault="00914D13" w:rsidP="00914D13">
      <w:pPr>
        <w:ind w:left="792" w:hanging="612"/>
        <w:contextualSpacing/>
        <w:jc w:val="both"/>
        <w:rPr>
          <w:sz w:val="20"/>
          <w:szCs w:val="20"/>
          <w:lang w:bidi="en-US"/>
        </w:rPr>
      </w:pPr>
    </w:p>
    <w:p w14:paraId="321A082B" w14:textId="77777777" w:rsidR="00914D13" w:rsidRPr="00D11BDA" w:rsidRDefault="00914D13" w:rsidP="00914D13">
      <w:pPr>
        <w:numPr>
          <w:ilvl w:val="1"/>
          <w:numId w:val="7"/>
        </w:numPr>
        <w:ind w:hanging="612"/>
        <w:contextualSpacing/>
        <w:jc w:val="both"/>
        <w:rPr>
          <w:sz w:val="20"/>
          <w:szCs w:val="20"/>
          <w:lang w:bidi="en-US"/>
        </w:rPr>
      </w:pPr>
      <w:r w:rsidRPr="00D11BDA">
        <w:rPr>
          <w:color w:val="000000"/>
          <w:sz w:val="20"/>
          <w:szCs w:val="20"/>
          <w:lang w:bidi="en-US"/>
        </w:rPr>
        <w:t xml:space="preserve">Approval by the State of Vendor’s request to subcontract or acceptance of or payment for subcontracted work by the State </w:t>
      </w:r>
      <w:proofErr w:type="gramStart"/>
      <w:r w:rsidRPr="00D11BDA">
        <w:rPr>
          <w:color w:val="000000"/>
          <w:sz w:val="20"/>
          <w:szCs w:val="20"/>
          <w:lang w:bidi="en-US"/>
        </w:rPr>
        <w:t>shall not in any way relieve</w:t>
      </w:r>
      <w:proofErr w:type="gramEnd"/>
      <w:r w:rsidRPr="00D11BDA">
        <w:rPr>
          <w:color w:val="000000"/>
          <w:sz w:val="20"/>
          <w:szCs w:val="20"/>
          <w:lang w:bidi="en-US"/>
        </w:rPr>
        <w:t xml:space="preserve"> Vendor of responsibility for the professional and technical accuracy and adequacy of the work.  All subcontractors shall adhere to and be bound by all applicable provisions of the Agreement.</w:t>
      </w:r>
    </w:p>
    <w:p w14:paraId="2BB823A7" w14:textId="77777777" w:rsidR="00914D13" w:rsidRPr="00D11BDA" w:rsidRDefault="00914D13" w:rsidP="00914D13">
      <w:pPr>
        <w:ind w:left="792" w:hanging="612"/>
        <w:contextualSpacing/>
        <w:jc w:val="both"/>
        <w:rPr>
          <w:sz w:val="20"/>
          <w:szCs w:val="20"/>
          <w:lang w:bidi="en-US"/>
        </w:rPr>
      </w:pPr>
    </w:p>
    <w:p w14:paraId="523C82D3" w14:textId="77777777" w:rsidR="00914D13" w:rsidRPr="00D11BDA" w:rsidRDefault="00914D13" w:rsidP="00914D13">
      <w:pPr>
        <w:numPr>
          <w:ilvl w:val="1"/>
          <w:numId w:val="7"/>
        </w:numPr>
        <w:ind w:hanging="612"/>
        <w:contextualSpacing/>
        <w:jc w:val="both"/>
        <w:rPr>
          <w:sz w:val="20"/>
          <w:szCs w:val="20"/>
          <w:lang w:bidi="en-US"/>
        </w:rPr>
      </w:pPr>
      <w:r w:rsidRPr="00D11BDA">
        <w:rPr>
          <w:color w:val="000000"/>
          <w:sz w:val="20"/>
          <w:szCs w:val="20"/>
          <w:lang w:bidi="en-US"/>
        </w:rPr>
        <w:t>Vendor shall be and remain liable for all damages to the Board, or the State caused by negligent performance or non-performance of work under the Agreement by Vendor or any subcontractor.</w:t>
      </w:r>
    </w:p>
    <w:p w14:paraId="7673CB97" w14:textId="77777777" w:rsidR="00914D13" w:rsidRPr="00D11BDA" w:rsidRDefault="00914D13" w:rsidP="00914D13">
      <w:pPr>
        <w:ind w:left="792" w:hanging="612"/>
        <w:contextualSpacing/>
        <w:jc w:val="both"/>
        <w:rPr>
          <w:sz w:val="20"/>
          <w:szCs w:val="20"/>
          <w:lang w:bidi="en-US"/>
        </w:rPr>
      </w:pPr>
    </w:p>
    <w:p w14:paraId="5356521F" w14:textId="77777777" w:rsidR="00914D13" w:rsidRPr="00D11BDA" w:rsidRDefault="00914D13" w:rsidP="00914D13">
      <w:pPr>
        <w:numPr>
          <w:ilvl w:val="1"/>
          <w:numId w:val="7"/>
        </w:numPr>
        <w:ind w:hanging="612"/>
        <w:contextualSpacing/>
        <w:jc w:val="both"/>
        <w:rPr>
          <w:sz w:val="20"/>
          <w:szCs w:val="20"/>
          <w:lang w:bidi="en-US"/>
        </w:rPr>
      </w:pPr>
      <w:r w:rsidRPr="00D11BDA">
        <w:rPr>
          <w:color w:val="000000"/>
          <w:sz w:val="20"/>
          <w:szCs w:val="20"/>
          <w:lang w:bidi="en-US"/>
        </w:rPr>
        <w:t xml:space="preserve">The compensation otherwise due to Vendor pursuant to </w:t>
      </w:r>
      <w:r w:rsidRPr="00D11BDA">
        <w:rPr>
          <w:b/>
          <w:color w:val="000000"/>
          <w:sz w:val="20"/>
          <w:szCs w:val="20"/>
          <w:lang w:bidi="en-US"/>
        </w:rPr>
        <w:t>Exhibit 2</w:t>
      </w:r>
      <w:r w:rsidRPr="00D11BDA">
        <w:rPr>
          <w:color w:val="000000"/>
          <w:sz w:val="20"/>
          <w:szCs w:val="20"/>
          <w:lang w:bidi="en-US"/>
        </w:rPr>
        <w:t xml:space="preserve"> shall not be affected by the State’s approval of the Vendor’s request to subcontract.</w:t>
      </w:r>
    </w:p>
    <w:p w14:paraId="31994940" w14:textId="77777777" w:rsidR="00914D13" w:rsidRPr="00D11BDA" w:rsidRDefault="00914D13" w:rsidP="00914D13">
      <w:pPr>
        <w:contextualSpacing/>
        <w:jc w:val="both"/>
        <w:rPr>
          <w:sz w:val="20"/>
          <w:szCs w:val="20"/>
          <w:lang w:bidi="en-US"/>
        </w:rPr>
      </w:pPr>
    </w:p>
    <w:p w14:paraId="609BFBDB"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Complete Agreement.</w:t>
      </w:r>
    </w:p>
    <w:p w14:paraId="5B19F811" w14:textId="77777777" w:rsidR="00914D13" w:rsidRPr="00D11BDA" w:rsidRDefault="00914D13" w:rsidP="00914D13">
      <w:pPr>
        <w:ind w:left="360"/>
        <w:contextualSpacing/>
        <w:jc w:val="both"/>
        <w:rPr>
          <w:sz w:val="20"/>
          <w:szCs w:val="20"/>
          <w:lang w:bidi="en-US"/>
        </w:rPr>
      </w:pPr>
    </w:p>
    <w:p w14:paraId="0E4E9984"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Agreement shall constitute the entire Agreement between the State and Vendor with respect to the subject matter of the Agreement and shall not be modified or changed without the express written consent of the parties.  The provisions of the Agreement shall supersede all prior oral and written quotations, communications, agreements and understandings of the parties with respect to the subject matter of the Agreement.</w:t>
      </w:r>
    </w:p>
    <w:p w14:paraId="786421A9" w14:textId="77777777" w:rsidR="00914D13" w:rsidRPr="00D11BDA" w:rsidRDefault="00914D13" w:rsidP="00914D13">
      <w:pPr>
        <w:ind w:left="792" w:hanging="684"/>
        <w:contextualSpacing/>
        <w:jc w:val="both"/>
        <w:rPr>
          <w:sz w:val="20"/>
          <w:szCs w:val="20"/>
          <w:lang w:bidi="en-US"/>
        </w:rPr>
      </w:pPr>
    </w:p>
    <w:p w14:paraId="346C3FE4"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color w:val="000000"/>
          <w:sz w:val="20"/>
          <w:szCs w:val="20"/>
          <w:lang w:bidi="en-US"/>
        </w:rPr>
        <w:t>If the scope of any provision of the Agreement is too broad in any respect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roofErr w:type="gramEnd"/>
    </w:p>
    <w:p w14:paraId="37DBCC18" w14:textId="77777777" w:rsidR="00914D13" w:rsidRPr="00D11BDA" w:rsidRDefault="00914D13" w:rsidP="00914D13">
      <w:pPr>
        <w:ind w:left="720" w:hanging="684"/>
        <w:contextualSpacing/>
        <w:jc w:val="both"/>
        <w:rPr>
          <w:sz w:val="20"/>
          <w:szCs w:val="20"/>
          <w:lang w:bidi="en-US"/>
        </w:rPr>
      </w:pPr>
    </w:p>
    <w:p w14:paraId="06318C64" w14:textId="77777777" w:rsidR="00914D13" w:rsidRPr="00D11BDA" w:rsidRDefault="00914D13" w:rsidP="00914D13">
      <w:pPr>
        <w:numPr>
          <w:ilvl w:val="1"/>
          <w:numId w:val="7"/>
        </w:numPr>
        <w:ind w:hanging="684"/>
        <w:contextualSpacing/>
        <w:jc w:val="both"/>
        <w:rPr>
          <w:sz w:val="20"/>
          <w:szCs w:val="20"/>
          <w:lang w:bidi="en-US"/>
        </w:rPr>
      </w:pPr>
      <w:proofErr w:type="gramStart"/>
      <w:r w:rsidRPr="00D11BDA">
        <w:rPr>
          <w:sz w:val="20"/>
          <w:szCs w:val="20"/>
          <w:lang w:bidi="en-US"/>
        </w:rPr>
        <w:t>If any term or provision of the Agreement is found by a court of competent jurisdiction to be invalid, illegal or otherwise unenforceable, the same shall not affect the other terms or provisions hereof or the whole of the Agreement, but such term or provision shall be deemed modified to the extent necessary to render such term or provision enforceable, and the rights and obligations of the parties shall be construed and enforced accordingly, preserving to the fullest permissible extent the intent and agreements of the parties.</w:t>
      </w:r>
      <w:proofErr w:type="gramEnd"/>
    </w:p>
    <w:p w14:paraId="35E3795F" w14:textId="77777777" w:rsidR="00914D13" w:rsidRPr="00D11BDA" w:rsidRDefault="00914D13" w:rsidP="00914D13">
      <w:pPr>
        <w:ind w:left="792" w:hanging="684"/>
        <w:contextualSpacing/>
        <w:jc w:val="both"/>
        <w:rPr>
          <w:sz w:val="20"/>
          <w:szCs w:val="20"/>
          <w:lang w:bidi="en-US"/>
        </w:rPr>
      </w:pPr>
    </w:p>
    <w:p w14:paraId="72B40F52" w14:textId="77777777" w:rsidR="00914D13" w:rsidRPr="00D11BDA" w:rsidRDefault="00914D13" w:rsidP="00914D13">
      <w:pPr>
        <w:numPr>
          <w:ilvl w:val="0"/>
          <w:numId w:val="7"/>
        </w:numPr>
        <w:contextualSpacing/>
        <w:jc w:val="both"/>
        <w:rPr>
          <w:b/>
          <w:bCs/>
          <w:color w:val="000000"/>
          <w:sz w:val="20"/>
          <w:szCs w:val="20"/>
          <w:lang w:bidi="en-US"/>
        </w:rPr>
      </w:pPr>
      <w:r w:rsidRPr="00D11BDA">
        <w:rPr>
          <w:b/>
          <w:bCs/>
          <w:color w:val="000000"/>
          <w:sz w:val="20"/>
          <w:szCs w:val="20"/>
          <w:lang w:bidi="en-US"/>
        </w:rPr>
        <w:t>Miscellaneous Provisions.</w:t>
      </w:r>
    </w:p>
    <w:p w14:paraId="00BCA684" w14:textId="77777777" w:rsidR="00914D13" w:rsidRPr="00D11BDA" w:rsidRDefault="00914D13" w:rsidP="00914D13">
      <w:pPr>
        <w:ind w:left="864" w:hanging="684"/>
        <w:contextualSpacing/>
        <w:jc w:val="both"/>
        <w:rPr>
          <w:sz w:val="20"/>
          <w:szCs w:val="20"/>
          <w:lang w:bidi="en-US"/>
        </w:rPr>
      </w:pPr>
    </w:p>
    <w:p w14:paraId="604CD4D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Neither the Agreement nor any exhibit </w:t>
      </w:r>
      <w:proofErr w:type="gramStart"/>
      <w:r w:rsidRPr="00D11BDA">
        <w:rPr>
          <w:color w:val="000000"/>
          <w:sz w:val="20"/>
          <w:szCs w:val="20"/>
          <w:lang w:bidi="en-US"/>
        </w:rPr>
        <w:t>may be modified or amended except by the mutual written agreement of the parties</w:t>
      </w:r>
      <w:proofErr w:type="gramEnd"/>
      <w:r w:rsidRPr="00D11BDA">
        <w:rPr>
          <w:color w:val="000000"/>
          <w:sz w:val="20"/>
          <w:szCs w:val="20"/>
          <w:lang w:bidi="en-US"/>
        </w:rPr>
        <w:t xml:space="preserve">. No waiver of any provision of the Agreement shall be effective unless it is in writing and signed by the party against which it </w:t>
      </w:r>
      <w:proofErr w:type="gramStart"/>
      <w:r w:rsidRPr="00D11BDA">
        <w:rPr>
          <w:color w:val="000000"/>
          <w:sz w:val="20"/>
          <w:szCs w:val="20"/>
          <w:lang w:bidi="en-US"/>
        </w:rPr>
        <w:t>is sought to be enforced</w:t>
      </w:r>
      <w:proofErr w:type="gramEnd"/>
      <w:r w:rsidRPr="00D11BDA">
        <w:rPr>
          <w:color w:val="000000"/>
          <w:sz w:val="20"/>
          <w:szCs w:val="20"/>
          <w:lang w:bidi="en-US"/>
        </w:rPr>
        <w:t>.</w:t>
      </w:r>
    </w:p>
    <w:p w14:paraId="7E8D3EF9" w14:textId="77777777" w:rsidR="00914D13" w:rsidRPr="00D11BDA" w:rsidRDefault="00914D13" w:rsidP="00914D13">
      <w:pPr>
        <w:ind w:left="864" w:hanging="684"/>
        <w:contextualSpacing/>
        <w:jc w:val="both"/>
        <w:rPr>
          <w:sz w:val="20"/>
          <w:szCs w:val="20"/>
          <w:lang w:bidi="en-US"/>
        </w:rPr>
      </w:pPr>
    </w:p>
    <w:p w14:paraId="0BB5D517"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delay or failure by either party to exercise or enforce any of its rights under the Agreement shall not constitute or </w:t>
      </w:r>
      <w:proofErr w:type="gramStart"/>
      <w:r w:rsidRPr="00D11BDA">
        <w:rPr>
          <w:color w:val="000000"/>
          <w:sz w:val="20"/>
          <w:szCs w:val="20"/>
          <w:lang w:bidi="en-US"/>
        </w:rPr>
        <w:t>be deemed</w:t>
      </w:r>
      <w:proofErr w:type="gramEnd"/>
      <w:r w:rsidRPr="00D11BDA">
        <w:rPr>
          <w:color w:val="000000"/>
          <w:sz w:val="20"/>
          <w:szCs w:val="20"/>
          <w:lang w:bidi="en-US"/>
        </w:rPr>
        <w:t xml:space="preserve"> a waiver of that party's right thereafter to enforce those rights, nor shall any single or partial exercise of any such right preclude any other or further exercise thereof or the exercise of any other right.</w:t>
      </w:r>
    </w:p>
    <w:p w14:paraId="59BC85EE" w14:textId="77777777" w:rsidR="00914D13" w:rsidRPr="00D11BDA" w:rsidRDefault="00914D13" w:rsidP="00914D13">
      <w:pPr>
        <w:ind w:left="864" w:hanging="684"/>
        <w:contextualSpacing/>
        <w:jc w:val="both"/>
        <w:rPr>
          <w:sz w:val="20"/>
          <w:szCs w:val="20"/>
          <w:lang w:bidi="en-US"/>
        </w:rPr>
      </w:pPr>
    </w:p>
    <w:p w14:paraId="306AEC9B"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covenants that it presently has no interest, and that it will not acquire any interest, direct or indirect, that conflicts or would conflict in any manner or degree with the performance of Services required under the Agreement. Vendor further covenants that, in the performance of said Services, no person having any such interest </w:t>
      </w:r>
      <w:proofErr w:type="gramStart"/>
      <w:r w:rsidRPr="00D11BDA">
        <w:rPr>
          <w:color w:val="000000"/>
          <w:sz w:val="20"/>
          <w:szCs w:val="20"/>
          <w:lang w:bidi="en-US"/>
        </w:rPr>
        <w:t>shall be employed</w:t>
      </w:r>
      <w:proofErr w:type="gramEnd"/>
      <w:r w:rsidRPr="00D11BDA">
        <w:rPr>
          <w:color w:val="000000"/>
          <w:sz w:val="20"/>
          <w:szCs w:val="20"/>
          <w:lang w:bidi="en-US"/>
        </w:rPr>
        <w:t>.</w:t>
      </w:r>
    </w:p>
    <w:p w14:paraId="1103B46D" w14:textId="77777777" w:rsidR="00914D13" w:rsidRPr="00D11BDA" w:rsidRDefault="00914D13" w:rsidP="00914D13">
      <w:pPr>
        <w:ind w:left="792"/>
        <w:contextualSpacing/>
        <w:jc w:val="both"/>
        <w:rPr>
          <w:sz w:val="20"/>
          <w:szCs w:val="20"/>
          <w:lang w:bidi="en-US"/>
        </w:rPr>
      </w:pPr>
    </w:p>
    <w:p w14:paraId="562D8353"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acknowledges that the Board and the State have obligations to ensure that public funds </w:t>
      </w:r>
      <w:proofErr w:type="gramStart"/>
      <w:r w:rsidRPr="00D11BDA">
        <w:rPr>
          <w:color w:val="000000"/>
          <w:sz w:val="20"/>
          <w:szCs w:val="20"/>
          <w:lang w:bidi="en-US"/>
        </w:rPr>
        <w:t>are not used</w:t>
      </w:r>
      <w:proofErr w:type="gramEnd"/>
      <w:r w:rsidRPr="00D11BDA">
        <w:rPr>
          <w:color w:val="000000"/>
          <w:sz w:val="20"/>
          <w:szCs w:val="20"/>
          <w:lang w:bidi="en-US"/>
        </w:rPr>
        <w:t xml:space="preserve"> to subsidize private discrimination. </w:t>
      </w:r>
      <w:proofErr w:type="gramStart"/>
      <w:r w:rsidRPr="00D11BDA">
        <w:rPr>
          <w:color w:val="000000"/>
          <w:sz w:val="20"/>
          <w:szCs w:val="20"/>
          <w:lang w:bidi="en-US"/>
        </w:rPr>
        <w:t>Vendor recognizes that its refusal to hire or do business with an individual or company due to reasons of race, color, gender, ethnicity, disability, national origin, age, or any other protected status, may result in the State declaring Vendor in breach of the Agreement, terminating the Agreement without penalty and/or taking such additional action as may be warranted under the circumstances.</w:t>
      </w:r>
      <w:proofErr w:type="gramEnd"/>
    </w:p>
    <w:p w14:paraId="2B13FD2A" w14:textId="77777777" w:rsidR="00914D13" w:rsidRPr="00D11BDA" w:rsidRDefault="00914D13" w:rsidP="00914D13">
      <w:pPr>
        <w:contextualSpacing/>
        <w:jc w:val="both"/>
        <w:rPr>
          <w:sz w:val="20"/>
          <w:szCs w:val="20"/>
          <w:lang w:bidi="en-US"/>
        </w:rPr>
      </w:pPr>
    </w:p>
    <w:p w14:paraId="38E41152"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warrants that no person or selling agency </w:t>
      </w:r>
      <w:proofErr w:type="gramStart"/>
      <w:r w:rsidRPr="00D11BDA">
        <w:rPr>
          <w:color w:val="000000"/>
          <w:sz w:val="20"/>
          <w:szCs w:val="20"/>
          <w:lang w:bidi="en-US"/>
        </w:rPr>
        <w:t>has been employed or retained to solicit or secure the Agreement upon an agreement or understanding for a commission, or a percentage, brokerage or contingent fee</w:t>
      </w:r>
      <w:proofErr w:type="gramEnd"/>
      <w:r w:rsidRPr="00D11BDA">
        <w:rPr>
          <w:color w:val="000000"/>
          <w:sz w:val="20"/>
          <w:szCs w:val="20"/>
          <w:lang w:bidi="en-US"/>
        </w:rPr>
        <w:t>. For breach or violation of this warranty, the State shall have the right to annul the Agreement without liability.</w:t>
      </w:r>
    </w:p>
    <w:p w14:paraId="20794132" w14:textId="77777777" w:rsidR="00914D13" w:rsidRPr="00D11BDA" w:rsidRDefault="00914D13" w:rsidP="00914D13">
      <w:pPr>
        <w:ind w:left="792" w:hanging="684"/>
        <w:contextualSpacing/>
        <w:jc w:val="both"/>
        <w:rPr>
          <w:sz w:val="20"/>
          <w:szCs w:val="20"/>
          <w:lang w:bidi="en-US"/>
        </w:rPr>
      </w:pPr>
    </w:p>
    <w:p w14:paraId="66C6DCCD"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Agreement was </w:t>
      </w:r>
      <w:bookmarkStart w:id="2" w:name="SearchTerm"/>
      <w:bookmarkEnd w:id="2"/>
      <w:r w:rsidRPr="00D11BDA">
        <w:rPr>
          <w:color w:val="000000"/>
          <w:sz w:val="20"/>
          <w:szCs w:val="20"/>
          <w:lang w:bidi="en-US"/>
        </w:rPr>
        <w:t>drafted with the joint participation of both parties and shall be construed neither against nor in favor of either, but rather in accordance with the fair meaning thereof.</w:t>
      </w:r>
    </w:p>
    <w:p w14:paraId="761182CE" w14:textId="77777777" w:rsidR="00914D13" w:rsidRPr="00D11BDA" w:rsidRDefault="00914D13" w:rsidP="00914D13">
      <w:pPr>
        <w:ind w:left="792" w:hanging="684"/>
        <w:contextualSpacing/>
        <w:jc w:val="both"/>
        <w:rPr>
          <w:sz w:val="20"/>
          <w:szCs w:val="20"/>
          <w:lang w:bidi="en-US"/>
        </w:rPr>
      </w:pPr>
    </w:p>
    <w:p w14:paraId="18D40CFA"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shall maintain all public records, as defined by 29 </w:t>
      </w:r>
      <w:r w:rsidRPr="00D11BDA">
        <w:rPr>
          <w:i/>
          <w:iCs/>
          <w:color w:val="000000"/>
          <w:sz w:val="20"/>
          <w:szCs w:val="20"/>
          <w:lang w:bidi="en-US"/>
        </w:rPr>
        <w:t>Del. C</w:t>
      </w:r>
      <w:r w:rsidRPr="00D11BDA">
        <w:rPr>
          <w:color w:val="000000"/>
          <w:sz w:val="20"/>
          <w:szCs w:val="20"/>
          <w:lang w:bidi="en-US"/>
        </w:rPr>
        <w:t xml:space="preserve">. § 502(1), relating to the Agreement and its deliverables for the time and in the manner specified by the Delaware Public Archives, pursuant to the Delaware Public Records Law, 29 </w:t>
      </w:r>
      <w:r w:rsidRPr="00D11BDA">
        <w:rPr>
          <w:i/>
          <w:iCs/>
          <w:color w:val="000000"/>
          <w:sz w:val="20"/>
          <w:szCs w:val="20"/>
          <w:lang w:bidi="en-US"/>
        </w:rPr>
        <w:t xml:space="preserve">Del. C. </w:t>
      </w:r>
      <w:r w:rsidRPr="00D11BDA">
        <w:rPr>
          <w:color w:val="000000"/>
          <w:sz w:val="20"/>
          <w:szCs w:val="20"/>
          <w:lang w:bidi="en-US"/>
        </w:rPr>
        <w:t xml:space="preserve">Ch. 5. </w:t>
      </w:r>
      <w:r w:rsidRPr="00D11BDA">
        <w:rPr>
          <w:sz w:val="20"/>
          <w:szCs w:val="20"/>
          <w:lang w:bidi="en-US"/>
        </w:rPr>
        <w:t>During the term of the Agreement, authorized representatives of the State may inspect or audit Vendor’ performance and records pertaining to the Agreement at the Vendor’s business offices during normal business hours.</w:t>
      </w:r>
    </w:p>
    <w:p w14:paraId="1A029B47" w14:textId="77777777" w:rsidR="00914D13" w:rsidRPr="00D11BDA" w:rsidRDefault="00914D13" w:rsidP="00914D13">
      <w:pPr>
        <w:ind w:left="864" w:hanging="684"/>
        <w:contextualSpacing/>
        <w:jc w:val="both"/>
        <w:rPr>
          <w:sz w:val="20"/>
          <w:szCs w:val="20"/>
          <w:lang w:bidi="en-US"/>
        </w:rPr>
      </w:pPr>
    </w:p>
    <w:p w14:paraId="710BBF11" w14:textId="77777777" w:rsidR="00914D13" w:rsidRPr="00D11BDA" w:rsidRDefault="00914D13" w:rsidP="00914D13">
      <w:pPr>
        <w:numPr>
          <w:ilvl w:val="1"/>
          <w:numId w:val="7"/>
        </w:numPr>
        <w:autoSpaceDE w:val="0"/>
        <w:autoSpaceDN w:val="0"/>
        <w:ind w:hanging="684"/>
        <w:rPr>
          <w:rFonts w:eastAsia="Calibri"/>
          <w:color w:val="221E1F"/>
          <w:sz w:val="20"/>
          <w:szCs w:val="20"/>
        </w:rPr>
      </w:pPr>
      <w:r w:rsidRPr="00D11BDA">
        <w:rPr>
          <w:rFonts w:eastAsia="Calibri"/>
          <w:color w:val="221E1F"/>
          <w:sz w:val="20"/>
          <w:szCs w:val="20"/>
        </w:rPr>
        <w:t xml:space="preserve">At the option of the State, the parties shall attempt in good faith to resolve any dispute arising out of or relating to the Agreement promptly by negotiation between officials or executives who have authority to settle the controversy.  All offers, promises, conduct and statements, whether oral or written, made in the course of the negotiation by any of the parties, their agents, employees, experts and attorneys are confidential, privileged and inadmissible for any purpose, including impeachment, in any proceeding involving the parties, provided evidence that is otherwise admissible or discoverable may not be rendered inadmissible. If the matter </w:t>
      </w:r>
      <w:proofErr w:type="gramStart"/>
      <w:r w:rsidRPr="00D11BDA">
        <w:rPr>
          <w:rFonts w:eastAsia="Calibri"/>
          <w:color w:val="221E1F"/>
          <w:sz w:val="20"/>
          <w:szCs w:val="20"/>
        </w:rPr>
        <w:t>is not resolved</w:t>
      </w:r>
      <w:proofErr w:type="gramEnd"/>
      <w:r w:rsidRPr="00D11BDA">
        <w:rPr>
          <w:rFonts w:eastAsia="Calibri"/>
          <w:color w:val="221E1F"/>
          <w:sz w:val="20"/>
          <w:szCs w:val="20"/>
        </w:rPr>
        <w:t xml:space="preserve"> by negotiation, or if the State in its discretion elects to proceed directly to mediation, then the matter will proceed to mediation as set forth below. </w:t>
      </w:r>
    </w:p>
    <w:p w14:paraId="6AADEBEE" w14:textId="77777777" w:rsidR="00914D13" w:rsidRPr="00D11BDA" w:rsidRDefault="00914D13" w:rsidP="00914D13">
      <w:pPr>
        <w:ind w:left="720" w:hanging="684"/>
        <w:rPr>
          <w:color w:val="221E1F"/>
          <w:sz w:val="20"/>
          <w:szCs w:val="20"/>
        </w:rPr>
      </w:pPr>
    </w:p>
    <w:p w14:paraId="2D40F3EF" w14:textId="77777777" w:rsidR="00914D13" w:rsidRPr="00D11BDA" w:rsidRDefault="00914D13" w:rsidP="00914D13">
      <w:pPr>
        <w:numPr>
          <w:ilvl w:val="1"/>
          <w:numId w:val="7"/>
        </w:numPr>
        <w:autoSpaceDE w:val="0"/>
        <w:autoSpaceDN w:val="0"/>
        <w:ind w:hanging="684"/>
        <w:rPr>
          <w:rFonts w:eastAsia="Calibri"/>
          <w:color w:val="221E1F"/>
          <w:sz w:val="20"/>
          <w:szCs w:val="20"/>
        </w:rPr>
      </w:pPr>
      <w:r w:rsidRPr="00D11BDA">
        <w:rPr>
          <w:rFonts w:eastAsia="Calibri"/>
          <w:color w:val="221E1F"/>
          <w:sz w:val="20"/>
          <w:szCs w:val="20"/>
        </w:rPr>
        <w:t xml:space="preserve">Any disputes, claims or controversies arising out of or relating to the Agreement that are not resolved through resolution pursuant to Section 15.3, must be submitted to mediation if the State in its discretion so elects. </w:t>
      </w:r>
      <w:proofErr w:type="gramStart"/>
      <w:r w:rsidRPr="00D11BDA">
        <w:rPr>
          <w:rFonts w:eastAsia="Calibri"/>
          <w:color w:val="221E1F"/>
          <w:sz w:val="20"/>
          <w:szCs w:val="20"/>
        </w:rPr>
        <w:t>Any such proceedings held pursuant to this provision shall be governed by Delaware law</w:t>
      </w:r>
      <w:proofErr w:type="gramEnd"/>
      <w:r w:rsidRPr="00D11BDA">
        <w:rPr>
          <w:rFonts w:eastAsia="Calibri"/>
          <w:color w:val="221E1F"/>
          <w:sz w:val="20"/>
          <w:szCs w:val="20"/>
        </w:rPr>
        <w:t xml:space="preserve"> and venue shall be in Delaware. The parties shall maintain the confidential nature of the proceedings and shall keep the terms of any resulting settlement or award confidential to the extent permissible under applicable law.</w:t>
      </w:r>
      <w:r w:rsidRPr="00D11BDA">
        <w:rPr>
          <w:rFonts w:eastAsia="Calibri"/>
          <w:color w:val="000000"/>
          <w:sz w:val="20"/>
          <w:szCs w:val="20"/>
        </w:rPr>
        <w:t xml:space="preserve"> </w:t>
      </w:r>
      <w:r w:rsidRPr="00D11BDA">
        <w:rPr>
          <w:rFonts w:eastAsia="Calibri"/>
          <w:color w:val="221E1F"/>
          <w:sz w:val="20"/>
          <w:szCs w:val="20"/>
        </w:rPr>
        <w:t>Each party shall bear its own costs of mediation, including attorneys’ fees and half of the mediator’s fees and expenses.</w:t>
      </w:r>
    </w:p>
    <w:p w14:paraId="2FDAF5EF" w14:textId="77777777" w:rsidR="00914D13" w:rsidRPr="00D11BDA" w:rsidRDefault="00914D13" w:rsidP="00914D13">
      <w:pPr>
        <w:ind w:left="720"/>
        <w:rPr>
          <w:color w:val="221E1F"/>
          <w:sz w:val="20"/>
          <w:szCs w:val="20"/>
        </w:rPr>
      </w:pPr>
    </w:p>
    <w:p w14:paraId="7E19B10E"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rights and remedies of the State provided for in the Agreement </w:t>
      </w:r>
      <w:proofErr w:type="gramStart"/>
      <w:r w:rsidRPr="00D11BDA">
        <w:rPr>
          <w:color w:val="000000"/>
          <w:sz w:val="20"/>
          <w:szCs w:val="20"/>
          <w:lang w:bidi="en-US"/>
        </w:rPr>
        <w:t>are in addition to any other rights and remedies provided</w:t>
      </w:r>
      <w:proofErr w:type="gramEnd"/>
      <w:r w:rsidRPr="00D11BDA">
        <w:rPr>
          <w:color w:val="000000"/>
          <w:sz w:val="20"/>
          <w:szCs w:val="20"/>
          <w:lang w:bidi="en-US"/>
        </w:rPr>
        <w:t xml:space="preserve"> by law or at equity.</w:t>
      </w:r>
    </w:p>
    <w:p w14:paraId="3AAA611E" w14:textId="77777777" w:rsidR="00914D13" w:rsidRPr="00D11BDA" w:rsidRDefault="00914D13" w:rsidP="00914D13">
      <w:pPr>
        <w:ind w:left="720" w:hanging="684"/>
        <w:rPr>
          <w:sz w:val="20"/>
          <w:szCs w:val="20"/>
          <w:lang w:bidi="en-US"/>
        </w:rPr>
      </w:pPr>
    </w:p>
    <w:p w14:paraId="355C9FA1" w14:textId="77777777" w:rsidR="00914D13" w:rsidRPr="00D11BDA" w:rsidRDefault="00914D13" w:rsidP="00FD6EDA">
      <w:pPr>
        <w:numPr>
          <w:ilvl w:val="1"/>
          <w:numId w:val="7"/>
        </w:numPr>
        <w:ind w:hanging="684"/>
        <w:contextualSpacing/>
        <w:jc w:val="both"/>
        <w:rPr>
          <w:color w:val="000000"/>
          <w:sz w:val="20"/>
          <w:szCs w:val="20"/>
          <w:lang w:bidi="en-US"/>
        </w:rPr>
      </w:pPr>
      <w:proofErr w:type="gramStart"/>
      <w:r w:rsidRPr="00D11BDA">
        <w:rPr>
          <w:color w:val="000000"/>
          <w:sz w:val="20"/>
          <w:szCs w:val="20"/>
          <w:lang w:bidi="en-US"/>
        </w:rPr>
        <w:t>Pursuant to Regulation S-P adopted by the Securities and Exchange Commission, all non-public consumer financial information provided by the State to Vendor under the Agreement shall be kept confidential</w:t>
      </w:r>
      <w:r w:rsidR="00FD6EDA" w:rsidRPr="00D11BDA">
        <w:rPr>
          <w:color w:val="000000"/>
          <w:sz w:val="20"/>
          <w:szCs w:val="20"/>
          <w:lang w:bidi="en-US"/>
        </w:rPr>
        <w:t xml:space="preserve"> </w:t>
      </w:r>
      <w:r w:rsidRPr="00D11BDA">
        <w:rPr>
          <w:color w:val="000000"/>
          <w:sz w:val="20"/>
          <w:szCs w:val="20"/>
          <w:lang w:bidi="en-US"/>
        </w:rPr>
        <w:t>by Vendor and not disclosed to others, except to the extent disclosure is (</w:t>
      </w:r>
      <w:proofErr w:type="spellStart"/>
      <w:r w:rsidRPr="00D11BDA">
        <w:rPr>
          <w:color w:val="000000"/>
          <w:sz w:val="20"/>
          <w:szCs w:val="20"/>
          <w:lang w:bidi="en-US"/>
        </w:rPr>
        <w:t>i</w:t>
      </w:r>
      <w:proofErr w:type="spellEnd"/>
      <w:r w:rsidRPr="00D11BDA">
        <w:rPr>
          <w:color w:val="000000"/>
          <w:sz w:val="20"/>
          <w:szCs w:val="20"/>
          <w:lang w:bidi="en-US"/>
        </w:rPr>
        <w:t>) permitted by Regulation S-P or authorized by Delaware law; (ii) required by applicable law or judicial or regulatory process; or (iii) necessary to carry out the purposes of the Agreement.</w:t>
      </w:r>
      <w:proofErr w:type="gramEnd"/>
    </w:p>
    <w:p w14:paraId="3D64B443" w14:textId="77777777" w:rsidR="00914D13" w:rsidRPr="00D11BDA" w:rsidRDefault="00914D13" w:rsidP="00914D13">
      <w:pPr>
        <w:ind w:left="792"/>
        <w:contextualSpacing/>
        <w:jc w:val="both"/>
        <w:rPr>
          <w:sz w:val="20"/>
          <w:szCs w:val="20"/>
          <w:lang w:bidi="en-US"/>
        </w:rPr>
      </w:pPr>
    </w:p>
    <w:p w14:paraId="5B6440D6" w14:textId="77777777" w:rsidR="00914D13" w:rsidRPr="00D11BDA" w:rsidRDefault="00914D13" w:rsidP="00914D13">
      <w:pPr>
        <w:numPr>
          <w:ilvl w:val="0"/>
          <w:numId w:val="7"/>
        </w:numPr>
        <w:contextualSpacing/>
        <w:jc w:val="both"/>
        <w:rPr>
          <w:b/>
          <w:sz w:val="20"/>
          <w:szCs w:val="20"/>
          <w:lang w:bidi="en-US"/>
        </w:rPr>
      </w:pPr>
      <w:r w:rsidRPr="00D11BDA">
        <w:rPr>
          <w:b/>
          <w:color w:val="000000"/>
          <w:sz w:val="20"/>
          <w:szCs w:val="20"/>
          <w:lang w:bidi="en-US"/>
        </w:rPr>
        <w:t>Assignment of Antitrust Claims.</w:t>
      </w:r>
    </w:p>
    <w:p w14:paraId="30182B0F" w14:textId="77777777" w:rsidR="00914D13" w:rsidRPr="00D11BDA" w:rsidRDefault="00914D13" w:rsidP="00914D13">
      <w:pPr>
        <w:ind w:left="360"/>
        <w:contextualSpacing/>
        <w:jc w:val="both"/>
        <w:rPr>
          <w:sz w:val="20"/>
          <w:szCs w:val="20"/>
          <w:lang w:bidi="en-US"/>
        </w:rPr>
      </w:pPr>
    </w:p>
    <w:p w14:paraId="2A38A5B5" w14:textId="77777777" w:rsidR="00914D13" w:rsidRPr="00D11BDA" w:rsidRDefault="00914D13" w:rsidP="00914D13">
      <w:pPr>
        <w:ind w:left="360"/>
        <w:contextualSpacing/>
        <w:jc w:val="both"/>
        <w:rPr>
          <w:spacing w:val="-3"/>
          <w:sz w:val="20"/>
          <w:szCs w:val="20"/>
          <w:lang w:bidi="en-US"/>
        </w:rPr>
      </w:pPr>
      <w:proofErr w:type="gramStart"/>
      <w:r w:rsidRPr="00D11BDA">
        <w:rPr>
          <w:spacing w:val="-3"/>
          <w:sz w:val="20"/>
          <w:szCs w:val="20"/>
          <w:lang w:bidi="en-US"/>
        </w:rPr>
        <w:t>As consideration for the award and execution of the Agreement by the State, Vendor hereby grants, conveys, sells, assigns, and transfers to the State all of its right, title and interest in and to all known or unknown causes of action it presently has or may now or hereafter acquire under the antitrust laws of the United States and the State, relating to the goods or Services and other work product purchased or acquired by the Board or the State pursuant to the Agreement.</w:t>
      </w:r>
      <w:proofErr w:type="gramEnd"/>
    </w:p>
    <w:p w14:paraId="5A39E0A0" w14:textId="77777777" w:rsidR="00914D13" w:rsidRPr="00D11BDA" w:rsidRDefault="00914D13" w:rsidP="00914D13">
      <w:pPr>
        <w:ind w:left="360"/>
        <w:contextualSpacing/>
        <w:jc w:val="both"/>
        <w:rPr>
          <w:sz w:val="20"/>
          <w:szCs w:val="20"/>
          <w:lang w:bidi="en-US"/>
        </w:rPr>
      </w:pPr>
    </w:p>
    <w:p w14:paraId="796B4C16"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Governing Law.</w:t>
      </w:r>
    </w:p>
    <w:p w14:paraId="2452F2C3" w14:textId="77777777" w:rsidR="00914D13" w:rsidRPr="00D11BDA" w:rsidRDefault="00914D13" w:rsidP="00914D13">
      <w:pPr>
        <w:ind w:left="360"/>
        <w:contextualSpacing/>
        <w:jc w:val="both"/>
        <w:rPr>
          <w:sz w:val="20"/>
          <w:szCs w:val="20"/>
          <w:lang w:bidi="en-US"/>
        </w:rPr>
      </w:pPr>
    </w:p>
    <w:p w14:paraId="1D37E59A" w14:textId="77777777" w:rsidR="00914D13" w:rsidRPr="00D11BDA" w:rsidRDefault="00914D13" w:rsidP="00914D13">
      <w:pPr>
        <w:ind w:left="360"/>
        <w:contextualSpacing/>
        <w:jc w:val="both"/>
        <w:rPr>
          <w:color w:val="000000"/>
          <w:sz w:val="20"/>
          <w:szCs w:val="20"/>
          <w:lang w:bidi="en-US"/>
        </w:rPr>
      </w:pPr>
      <w:r w:rsidRPr="00D11BDA">
        <w:rPr>
          <w:color w:val="000000"/>
          <w:sz w:val="20"/>
          <w:szCs w:val="20"/>
          <w:lang w:bidi="en-US"/>
        </w:rPr>
        <w:t xml:space="preserve">The Agreement </w:t>
      </w:r>
      <w:proofErr w:type="gramStart"/>
      <w:r w:rsidRPr="00D11BDA">
        <w:rPr>
          <w:color w:val="000000"/>
          <w:sz w:val="20"/>
          <w:szCs w:val="20"/>
          <w:lang w:bidi="en-US"/>
        </w:rPr>
        <w:t>shall be governed by and construed in accordance with Delaware laws, without regard to confl</w:t>
      </w:r>
      <w:r w:rsidR="00120224" w:rsidRPr="00D11BDA">
        <w:rPr>
          <w:color w:val="000000"/>
          <w:sz w:val="20"/>
          <w:szCs w:val="20"/>
          <w:lang w:bidi="en-US"/>
        </w:rPr>
        <w:t>ict of laws rules or principles</w:t>
      </w:r>
      <w:proofErr w:type="gramEnd"/>
      <w:r w:rsidR="00120224" w:rsidRPr="00D11BDA">
        <w:rPr>
          <w:color w:val="000000"/>
          <w:sz w:val="20"/>
          <w:szCs w:val="20"/>
          <w:lang w:bidi="en-US"/>
        </w:rPr>
        <w:t xml:space="preserve">.  </w:t>
      </w:r>
      <w:r w:rsidRPr="00D11BDA">
        <w:rPr>
          <w:color w:val="000000"/>
          <w:sz w:val="20"/>
          <w:szCs w:val="20"/>
          <w:lang w:bidi="en-US"/>
        </w:rPr>
        <w:t>Vendor consents to jurisdiction and venue in Delaware.</w:t>
      </w:r>
    </w:p>
    <w:p w14:paraId="047018B8" w14:textId="77777777" w:rsidR="00914D13" w:rsidRPr="00D11BDA" w:rsidRDefault="00914D13" w:rsidP="00914D13">
      <w:pPr>
        <w:rPr>
          <w:b/>
          <w:bCs/>
          <w:color w:val="000000"/>
          <w:sz w:val="20"/>
          <w:szCs w:val="20"/>
          <w:lang w:bidi="en-US"/>
        </w:rPr>
      </w:pPr>
    </w:p>
    <w:p w14:paraId="5B71012A"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Notices.</w:t>
      </w:r>
    </w:p>
    <w:p w14:paraId="19469C8D" w14:textId="77777777" w:rsidR="00914D13" w:rsidRPr="00D11BDA" w:rsidRDefault="00914D13" w:rsidP="00914D13">
      <w:pPr>
        <w:ind w:left="360"/>
        <w:contextualSpacing/>
        <w:jc w:val="both"/>
        <w:rPr>
          <w:sz w:val="20"/>
          <w:szCs w:val="20"/>
          <w:lang w:bidi="en-US"/>
        </w:rPr>
      </w:pPr>
    </w:p>
    <w:p w14:paraId="44F07D1A" w14:textId="77777777" w:rsidR="00914D13" w:rsidRPr="00D11BDA" w:rsidRDefault="00914D13" w:rsidP="00914D13">
      <w:pPr>
        <w:ind w:left="360"/>
        <w:contextualSpacing/>
        <w:jc w:val="both"/>
        <w:rPr>
          <w:color w:val="000000"/>
          <w:sz w:val="20"/>
          <w:szCs w:val="20"/>
          <w:lang w:bidi="en-US"/>
        </w:rPr>
      </w:pPr>
      <w:proofErr w:type="gramStart"/>
      <w:r w:rsidRPr="00D11BDA">
        <w:rPr>
          <w:color w:val="000000"/>
          <w:sz w:val="20"/>
          <w:szCs w:val="20"/>
          <w:lang w:bidi="en-US"/>
        </w:rPr>
        <w:t>Any and all</w:t>
      </w:r>
      <w:proofErr w:type="gramEnd"/>
      <w:r w:rsidRPr="00D11BDA">
        <w:rPr>
          <w:color w:val="000000"/>
          <w:sz w:val="20"/>
          <w:szCs w:val="20"/>
          <w:lang w:bidi="en-US"/>
        </w:rPr>
        <w:t xml:space="preserve"> notices required by the provisions of the Agreement shall be in writing and shall be mailed, certified or registered mail, return receipt requested. All notices </w:t>
      </w:r>
      <w:proofErr w:type="gramStart"/>
      <w:r w:rsidRPr="00D11BDA">
        <w:rPr>
          <w:color w:val="000000"/>
          <w:sz w:val="20"/>
          <w:szCs w:val="20"/>
          <w:lang w:bidi="en-US"/>
        </w:rPr>
        <w:t>shall be sent</w:t>
      </w:r>
      <w:proofErr w:type="gramEnd"/>
      <w:r w:rsidRPr="00D11BDA">
        <w:rPr>
          <w:color w:val="000000"/>
          <w:sz w:val="20"/>
          <w:szCs w:val="20"/>
          <w:lang w:bidi="en-US"/>
        </w:rPr>
        <w:t xml:space="preserve"> to the following addresses:</w:t>
      </w:r>
    </w:p>
    <w:p w14:paraId="58FC2AE8" w14:textId="77777777" w:rsidR="00914D13" w:rsidRPr="00D11BDA" w:rsidRDefault="00914D13" w:rsidP="00914D13">
      <w:pPr>
        <w:ind w:left="360"/>
        <w:contextualSpacing/>
        <w:jc w:val="both"/>
        <w:rPr>
          <w:color w:val="000000"/>
          <w:sz w:val="20"/>
          <w:szCs w:val="20"/>
          <w:lang w:bidi="en-US"/>
        </w:rPr>
      </w:pPr>
    </w:p>
    <w:p w14:paraId="5D06E5AA" w14:textId="77777777" w:rsidR="00914D13" w:rsidRPr="00D11BDA" w:rsidRDefault="00914D13" w:rsidP="00914D13">
      <w:pPr>
        <w:ind w:left="360"/>
        <w:contextualSpacing/>
        <w:jc w:val="both"/>
        <w:rPr>
          <w:sz w:val="20"/>
          <w:szCs w:val="20"/>
          <w:lang w:bidi="en-US"/>
        </w:rPr>
      </w:pPr>
      <w:r w:rsidRPr="00D11BDA">
        <w:rPr>
          <w:sz w:val="20"/>
          <w:szCs w:val="20"/>
          <w:lang w:bidi="en-US"/>
        </w:rPr>
        <w:t>DELAWARE:</w:t>
      </w:r>
    </w:p>
    <w:p w14:paraId="6CA58D5C" w14:textId="77777777" w:rsidR="00914D13" w:rsidRPr="00D11BDA" w:rsidRDefault="00914D13" w:rsidP="00914D13">
      <w:pPr>
        <w:ind w:left="360"/>
        <w:contextualSpacing/>
        <w:jc w:val="both"/>
        <w:rPr>
          <w:sz w:val="20"/>
          <w:szCs w:val="20"/>
          <w:lang w:bidi="en-US"/>
        </w:rPr>
      </w:pPr>
      <w:r w:rsidRPr="00D11BDA">
        <w:rPr>
          <w:sz w:val="20"/>
          <w:szCs w:val="20"/>
          <w:lang w:bidi="en-US"/>
        </w:rPr>
        <w:t>Office of the State Treasurer</w:t>
      </w:r>
    </w:p>
    <w:p w14:paraId="262D0420" w14:textId="77777777" w:rsidR="00914D13" w:rsidRPr="00D11BDA" w:rsidRDefault="00914D13" w:rsidP="00914D13">
      <w:pPr>
        <w:ind w:left="360"/>
        <w:contextualSpacing/>
        <w:jc w:val="both"/>
        <w:rPr>
          <w:sz w:val="20"/>
          <w:szCs w:val="20"/>
          <w:lang w:bidi="en-US"/>
        </w:rPr>
      </w:pPr>
      <w:r w:rsidRPr="00D11BDA">
        <w:rPr>
          <w:sz w:val="20"/>
          <w:szCs w:val="20"/>
          <w:lang w:bidi="en-US"/>
        </w:rPr>
        <w:t>Attn: [Director of Debt and Cash Management]</w:t>
      </w:r>
    </w:p>
    <w:p w14:paraId="28040349" w14:textId="77777777" w:rsidR="00914D13" w:rsidRPr="00D11BDA" w:rsidRDefault="00914D13" w:rsidP="00914D13">
      <w:pPr>
        <w:ind w:left="360"/>
        <w:contextualSpacing/>
        <w:jc w:val="both"/>
        <w:rPr>
          <w:sz w:val="20"/>
          <w:szCs w:val="20"/>
          <w:lang w:val="fr-FR" w:bidi="en-US"/>
        </w:rPr>
      </w:pPr>
      <w:r w:rsidRPr="00D11BDA">
        <w:rPr>
          <w:sz w:val="20"/>
          <w:szCs w:val="20"/>
          <w:lang w:val="fr-FR" w:bidi="en-US"/>
        </w:rPr>
        <w:t xml:space="preserve">820 </w:t>
      </w:r>
      <w:proofErr w:type="spellStart"/>
      <w:r w:rsidRPr="00D11BDA">
        <w:rPr>
          <w:sz w:val="20"/>
          <w:szCs w:val="20"/>
          <w:lang w:val="fr-FR" w:bidi="en-US"/>
        </w:rPr>
        <w:t>Silver</w:t>
      </w:r>
      <w:proofErr w:type="spellEnd"/>
      <w:r w:rsidRPr="00D11BDA">
        <w:rPr>
          <w:sz w:val="20"/>
          <w:szCs w:val="20"/>
          <w:lang w:val="fr-FR" w:bidi="en-US"/>
        </w:rPr>
        <w:t xml:space="preserve"> Lake </w:t>
      </w:r>
      <w:proofErr w:type="spellStart"/>
      <w:r w:rsidRPr="00D11BDA">
        <w:rPr>
          <w:sz w:val="20"/>
          <w:szCs w:val="20"/>
          <w:lang w:val="fr-FR" w:bidi="en-US"/>
        </w:rPr>
        <w:t>Blvd</w:t>
      </w:r>
      <w:proofErr w:type="spellEnd"/>
      <w:r w:rsidRPr="00D11BDA">
        <w:rPr>
          <w:sz w:val="20"/>
          <w:szCs w:val="20"/>
          <w:lang w:val="fr-FR" w:bidi="en-US"/>
        </w:rPr>
        <w:t>., Suite 100</w:t>
      </w:r>
    </w:p>
    <w:p w14:paraId="3CFEE22F" w14:textId="77777777" w:rsidR="00914D13" w:rsidRPr="00D11BDA" w:rsidRDefault="00914D13" w:rsidP="00914D13">
      <w:pPr>
        <w:ind w:left="360"/>
        <w:contextualSpacing/>
        <w:jc w:val="both"/>
        <w:rPr>
          <w:sz w:val="20"/>
          <w:szCs w:val="20"/>
          <w:lang w:val="fr-FR" w:bidi="en-US"/>
        </w:rPr>
      </w:pPr>
      <w:r w:rsidRPr="00D11BDA">
        <w:rPr>
          <w:sz w:val="20"/>
          <w:szCs w:val="20"/>
          <w:lang w:val="fr-FR" w:bidi="en-US"/>
        </w:rPr>
        <w:t>Dover, DE  19904</w:t>
      </w:r>
    </w:p>
    <w:p w14:paraId="1937F6AC" w14:textId="77777777" w:rsidR="00914D13" w:rsidRPr="00D11BDA" w:rsidRDefault="00914D13" w:rsidP="00914D13">
      <w:pPr>
        <w:ind w:left="360"/>
        <w:contextualSpacing/>
        <w:jc w:val="both"/>
        <w:rPr>
          <w:sz w:val="20"/>
          <w:szCs w:val="20"/>
          <w:lang w:val="fr-FR" w:bidi="en-US"/>
        </w:rPr>
      </w:pPr>
    </w:p>
    <w:p w14:paraId="12FEF6E9" w14:textId="77777777" w:rsidR="00914D13" w:rsidRPr="00D11BDA" w:rsidRDefault="00914D13" w:rsidP="00914D13">
      <w:pPr>
        <w:ind w:left="360"/>
        <w:contextualSpacing/>
        <w:jc w:val="both"/>
        <w:rPr>
          <w:sz w:val="20"/>
          <w:szCs w:val="20"/>
          <w:lang w:bidi="en-US"/>
        </w:rPr>
      </w:pPr>
      <w:r w:rsidRPr="00D11BDA">
        <w:rPr>
          <w:sz w:val="20"/>
          <w:szCs w:val="20"/>
          <w:lang w:bidi="en-US"/>
        </w:rPr>
        <w:t>VENDOR:</w:t>
      </w:r>
    </w:p>
    <w:p w14:paraId="5A52F4A0" w14:textId="77777777" w:rsidR="00574DA3" w:rsidRDefault="00914D13" w:rsidP="00914D13">
      <w:pPr>
        <w:ind w:left="360"/>
        <w:contextualSpacing/>
        <w:jc w:val="both"/>
        <w:rPr>
          <w:sz w:val="20"/>
          <w:szCs w:val="20"/>
          <w:highlight w:val="lightGray"/>
          <w:lang w:bidi="en-US"/>
        </w:rPr>
      </w:pPr>
      <w:r w:rsidRPr="00D11BDA">
        <w:rPr>
          <w:sz w:val="20"/>
          <w:szCs w:val="20"/>
          <w:highlight w:val="lightGray"/>
          <w:u w:val="single"/>
          <w:lang w:bidi="en-US"/>
        </w:rPr>
        <w:t>(Vendor contact address)</w:t>
      </w:r>
      <w:r w:rsidRPr="00D11BDA">
        <w:rPr>
          <w:sz w:val="20"/>
          <w:szCs w:val="20"/>
          <w:highlight w:val="lightGray"/>
          <w:lang w:bidi="en-US"/>
        </w:rPr>
        <w:t>____________________________________</w:t>
      </w:r>
      <w:r w:rsidR="00574DA3">
        <w:rPr>
          <w:sz w:val="20"/>
          <w:szCs w:val="20"/>
          <w:highlight w:val="lightGray"/>
          <w:lang w:bidi="en-US"/>
        </w:rPr>
        <w:br w:type="page"/>
      </w:r>
    </w:p>
    <w:p w14:paraId="3B7F8FDE" w14:textId="77777777" w:rsidR="00914D13" w:rsidRPr="00D11BDA" w:rsidRDefault="00914D13" w:rsidP="00914D13">
      <w:pPr>
        <w:ind w:left="360"/>
        <w:contextualSpacing/>
        <w:jc w:val="both"/>
        <w:rPr>
          <w:sz w:val="20"/>
          <w:szCs w:val="20"/>
          <w:lang w:bidi="en-US"/>
        </w:rPr>
      </w:pPr>
    </w:p>
    <w:p w14:paraId="27BF0726" w14:textId="77777777" w:rsidR="00914D13" w:rsidRPr="00D11BDA" w:rsidRDefault="00914D13" w:rsidP="00914D13">
      <w:pPr>
        <w:ind w:left="360"/>
        <w:jc w:val="right"/>
        <w:rPr>
          <w:b/>
          <w:sz w:val="20"/>
          <w:szCs w:val="20"/>
        </w:rPr>
      </w:pPr>
    </w:p>
    <w:p w14:paraId="66820BED" w14:textId="77777777" w:rsidR="00914D13" w:rsidRPr="00D11BDA" w:rsidRDefault="00914D13" w:rsidP="00914D13">
      <w:pPr>
        <w:numPr>
          <w:ilvl w:val="0"/>
          <w:numId w:val="7"/>
        </w:numPr>
        <w:contextualSpacing/>
        <w:jc w:val="both"/>
        <w:rPr>
          <w:b/>
          <w:sz w:val="20"/>
          <w:szCs w:val="20"/>
        </w:rPr>
      </w:pPr>
      <w:r w:rsidRPr="00D11BDA">
        <w:rPr>
          <w:b/>
          <w:sz w:val="20"/>
          <w:szCs w:val="20"/>
        </w:rPr>
        <w:t xml:space="preserve">Exhibits. </w:t>
      </w:r>
    </w:p>
    <w:p w14:paraId="26107C1C" w14:textId="77777777" w:rsidR="00914D13" w:rsidRPr="00D11BDA" w:rsidRDefault="00914D13" w:rsidP="00914D13">
      <w:pPr>
        <w:contextualSpacing/>
        <w:jc w:val="both"/>
        <w:rPr>
          <w:sz w:val="20"/>
          <w:szCs w:val="20"/>
        </w:rPr>
      </w:pPr>
    </w:p>
    <w:p w14:paraId="6175FF0F" w14:textId="77777777" w:rsidR="00914D13" w:rsidRPr="00D11BDA" w:rsidRDefault="00914D13" w:rsidP="00914D13">
      <w:pPr>
        <w:ind w:left="360"/>
        <w:contextualSpacing/>
        <w:jc w:val="both"/>
        <w:rPr>
          <w:color w:val="000000"/>
          <w:sz w:val="20"/>
          <w:szCs w:val="20"/>
          <w:lang w:bidi="en-US"/>
        </w:rPr>
      </w:pPr>
      <w:r w:rsidRPr="00D11BDA">
        <w:rPr>
          <w:color w:val="000000"/>
          <w:sz w:val="20"/>
          <w:szCs w:val="20"/>
          <w:lang w:bidi="en-US"/>
        </w:rPr>
        <w:t xml:space="preserve">The following </w:t>
      </w:r>
      <w:r w:rsidR="00AB5F0D" w:rsidRPr="00D11BDA">
        <w:rPr>
          <w:color w:val="000000"/>
          <w:sz w:val="20"/>
          <w:szCs w:val="20"/>
          <w:lang w:bidi="en-US"/>
        </w:rPr>
        <w:t xml:space="preserve">six </w:t>
      </w:r>
      <w:r w:rsidRPr="00D11BDA">
        <w:rPr>
          <w:color w:val="000000"/>
          <w:sz w:val="20"/>
          <w:szCs w:val="20"/>
          <w:lang w:bidi="en-US"/>
        </w:rPr>
        <w:t xml:space="preserve">exhibits and all terms and conditions thereof </w:t>
      </w:r>
      <w:proofErr w:type="gramStart"/>
      <w:r w:rsidRPr="00D11BDA">
        <w:rPr>
          <w:color w:val="000000"/>
          <w:sz w:val="20"/>
          <w:szCs w:val="20"/>
          <w:lang w:bidi="en-US"/>
        </w:rPr>
        <w:t>shall be incorporated into and considered part of the STCs</w:t>
      </w:r>
      <w:proofErr w:type="gramEnd"/>
      <w:r w:rsidRPr="00D11BDA">
        <w:rPr>
          <w:color w:val="000000"/>
          <w:sz w:val="20"/>
          <w:szCs w:val="20"/>
          <w:lang w:bidi="en-US"/>
        </w:rPr>
        <w:t>:</w:t>
      </w:r>
    </w:p>
    <w:p w14:paraId="06C6C7D5" w14:textId="77777777" w:rsidR="00914D13" w:rsidRPr="00D11BDA" w:rsidRDefault="00914D13" w:rsidP="00914D13">
      <w:pPr>
        <w:ind w:left="720"/>
        <w:jc w:val="both"/>
        <w:rPr>
          <w:sz w:val="20"/>
          <w:szCs w:val="20"/>
        </w:rPr>
      </w:pPr>
    </w:p>
    <w:p w14:paraId="12ECE0A4" w14:textId="77777777" w:rsidR="00914D13" w:rsidRPr="00D11BDA" w:rsidRDefault="00914D13" w:rsidP="00914D13">
      <w:pPr>
        <w:ind w:left="360"/>
        <w:jc w:val="both"/>
        <w:rPr>
          <w:b/>
          <w:sz w:val="20"/>
          <w:szCs w:val="20"/>
        </w:rPr>
      </w:pPr>
      <w:r w:rsidRPr="00D11BDA">
        <w:rPr>
          <w:b/>
          <w:sz w:val="20"/>
          <w:szCs w:val="20"/>
        </w:rPr>
        <w:t xml:space="preserve">Exhibit 1 – Statement of Work (To </w:t>
      </w:r>
      <w:proofErr w:type="gramStart"/>
      <w:r w:rsidRPr="00D11BDA">
        <w:rPr>
          <w:b/>
          <w:sz w:val="20"/>
          <w:szCs w:val="20"/>
        </w:rPr>
        <w:t>be negotiated</w:t>
      </w:r>
      <w:proofErr w:type="gramEnd"/>
      <w:r w:rsidRPr="00D11BDA">
        <w:rPr>
          <w:b/>
          <w:sz w:val="20"/>
          <w:szCs w:val="20"/>
        </w:rPr>
        <w:t>)</w:t>
      </w:r>
    </w:p>
    <w:p w14:paraId="2472B824" w14:textId="77777777" w:rsidR="00914D13" w:rsidRPr="00D11BDA" w:rsidRDefault="00914D13" w:rsidP="00914D13">
      <w:pPr>
        <w:ind w:left="360"/>
        <w:jc w:val="both"/>
        <w:rPr>
          <w:b/>
          <w:sz w:val="20"/>
          <w:szCs w:val="20"/>
        </w:rPr>
      </w:pPr>
      <w:r w:rsidRPr="00D11BDA">
        <w:rPr>
          <w:b/>
          <w:sz w:val="20"/>
          <w:szCs w:val="20"/>
        </w:rPr>
        <w:t xml:space="preserve">Exhibit 2 – Schedule of Fees (To </w:t>
      </w:r>
      <w:proofErr w:type="gramStart"/>
      <w:r w:rsidRPr="00D11BDA">
        <w:rPr>
          <w:b/>
          <w:sz w:val="20"/>
          <w:szCs w:val="20"/>
        </w:rPr>
        <w:t>be negotiated</w:t>
      </w:r>
      <w:proofErr w:type="gramEnd"/>
      <w:r w:rsidRPr="00D11BDA">
        <w:rPr>
          <w:b/>
          <w:sz w:val="20"/>
          <w:szCs w:val="20"/>
        </w:rPr>
        <w:t>)</w:t>
      </w:r>
    </w:p>
    <w:p w14:paraId="600EF845" w14:textId="77777777" w:rsidR="00914D13" w:rsidRPr="00D11BDA" w:rsidRDefault="00914D13" w:rsidP="00914D13">
      <w:pPr>
        <w:ind w:left="360" w:right="-90"/>
        <w:jc w:val="both"/>
        <w:rPr>
          <w:b/>
          <w:sz w:val="20"/>
          <w:szCs w:val="20"/>
        </w:rPr>
      </w:pPr>
      <w:r w:rsidRPr="00D11BDA">
        <w:rPr>
          <w:b/>
          <w:sz w:val="20"/>
          <w:szCs w:val="20"/>
        </w:rPr>
        <w:t xml:space="preserve">Exhibit 3 – Implementation Plan (To </w:t>
      </w:r>
      <w:proofErr w:type="gramStart"/>
      <w:r w:rsidRPr="00D11BDA">
        <w:rPr>
          <w:b/>
          <w:sz w:val="20"/>
          <w:szCs w:val="20"/>
        </w:rPr>
        <w:t>be negotiated</w:t>
      </w:r>
      <w:proofErr w:type="gramEnd"/>
      <w:r w:rsidRPr="00D11BDA">
        <w:rPr>
          <w:b/>
          <w:sz w:val="20"/>
          <w:szCs w:val="20"/>
        </w:rPr>
        <w:t>)</w:t>
      </w:r>
    </w:p>
    <w:p w14:paraId="23252343" w14:textId="54BA70B6" w:rsidR="000F70BC" w:rsidRPr="0099623E" w:rsidRDefault="00914D13" w:rsidP="0099623E">
      <w:pPr>
        <w:ind w:left="360" w:right="-90"/>
        <w:jc w:val="both"/>
        <w:rPr>
          <w:b/>
          <w:sz w:val="20"/>
          <w:szCs w:val="20"/>
        </w:rPr>
      </w:pPr>
      <w:r w:rsidRPr="00D11BDA">
        <w:rPr>
          <w:b/>
          <w:sz w:val="20"/>
          <w:szCs w:val="20"/>
        </w:rPr>
        <w:t xml:space="preserve">Exhibit 4 – </w:t>
      </w:r>
      <w:r w:rsidRPr="00D11BDA">
        <w:rPr>
          <w:rFonts w:eastAsia="Arial"/>
          <w:b/>
          <w:sz w:val="20"/>
          <w:szCs w:val="20"/>
        </w:rPr>
        <w:t>Confidentiality (Non-Disclosure) and Integrity of Data Agreement (Attached)</w:t>
      </w:r>
      <w:r w:rsidR="000F70BC">
        <w:rPr>
          <w:rFonts w:ascii="Arial Black" w:hAnsi="Arial Black"/>
          <w:b/>
          <w:sz w:val="28"/>
          <w:szCs w:val="28"/>
        </w:rPr>
        <w:br w:type="page"/>
      </w:r>
    </w:p>
    <w:p w14:paraId="62C67BA2" w14:textId="77777777" w:rsidR="000C2351" w:rsidRDefault="000C2351" w:rsidP="000C2351">
      <w:pPr>
        <w:ind w:right="-180"/>
        <w:rPr>
          <w:sz w:val="20"/>
          <w:szCs w:val="20"/>
        </w:rPr>
      </w:pPr>
      <w:r>
        <w:rPr>
          <w:rFonts w:ascii="Arial Black" w:hAnsi="Arial Black"/>
          <w:b/>
          <w:sz w:val="28"/>
          <w:szCs w:val="28"/>
        </w:rPr>
        <w:t xml:space="preserve">Exhibit 4:  Confidentiality (Non-Disclosure) &amp; Integrity of Data </w:t>
      </w:r>
    </w:p>
    <w:p w14:paraId="7381DBD3" w14:textId="77777777" w:rsidR="000C2351" w:rsidRDefault="000C2351" w:rsidP="000C2351">
      <w:pPr>
        <w:rPr>
          <w:b/>
          <w:sz w:val="22"/>
        </w:rPr>
      </w:pPr>
      <w:r w:rsidRPr="00DD2A68">
        <w:rPr>
          <w:sz w:val="20"/>
          <w:szCs w:val="20"/>
        </w:rPr>
        <w:t>CONTRACT N</w:t>
      </w:r>
      <w:r>
        <w:rPr>
          <w:sz w:val="20"/>
          <w:szCs w:val="20"/>
        </w:rPr>
        <w:t>UMBER</w:t>
      </w:r>
      <w:r w:rsidRPr="00DD2A68">
        <w:rPr>
          <w:sz w:val="20"/>
          <w:szCs w:val="20"/>
        </w:rPr>
        <w:t>:</w:t>
      </w:r>
      <w:r>
        <w:rPr>
          <w:sz w:val="20"/>
          <w:szCs w:val="20"/>
        </w:rPr>
        <w:t xml:space="preserve">  </w:t>
      </w:r>
      <w:r w:rsidR="00393071" w:rsidRPr="00CC34E6">
        <w:rPr>
          <w:sz w:val="20"/>
          <w:szCs w:val="20"/>
        </w:rPr>
        <w:t>TRE19202-LOCALBANKS</w:t>
      </w:r>
    </w:p>
    <w:p w14:paraId="57DB3605" w14:textId="77777777" w:rsidR="000C2351" w:rsidRDefault="000C2351" w:rsidP="000C2351">
      <w:pPr>
        <w:rPr>
          <w:b/>
          <w:sz w:val="22"/>
        </w:rPr>
      </w:pPr>
    </w:p>
    <w:p w14:paraId="0FB44E23" w14:textId="77777777" w:rsidR="000C2351" w:rsidRPr="002E1E30" w:rsidRDefault="000C2351" w:rsidP="000C2351">
      <w:pPr>
        <w:jc w:val="center"/>
        <w:rPr>
          <w:b/>
          <w:sz w:val="22"/>
        </w:rPr>
      </w:pPr>
      <w:r w:rsidRPr="002E1E30">
        <w:rPr>
          <w:b/>
          <w:sz w:val="22"/>
        </w:rPr>
        <w:t>CONFIDENTIALITY (NON-DISCLOS</w:t>
      </w:r>
      <w:r>
        <w:rPr>
          <w:b/>
          <w:sz w:val="22"/>
        </w:rPr>
        <w:t>U</w:t>
      </w:r>
      <w:r w:rsidRPr="002E1E30">
        <w:rPr>
          <w:b/>
          <w:sz w:val="22"/>
        </w:rPr>
        <w:t>R</w:t>
      </w:r>
      <w:r>
        <w:rPr>
          <w:b/>
          <w:sz w:val="22"/>
        </w:rPr>
        <w:t>E</w:t>
      </w:r>
      <w:r w:rsidRPr="002E1E30">
        <w:rPr>
          <w:b/>
          <w:sz w:val="22"/>
        </w:rPr>
        <w:t>) AND INTEGRITY OF DATA AGREEMENT</w:t>
      </w:r>
    </w:p>
    <w:p w14:paraId="132652E9" w14:textId="77777777" w:rsidR="000C2351" w:rsidRDefault="000C2351" w:rsidP="000C2351">
      <w:pPr>
        <w:rPr>
          <w:b/>
          <w:sz w:val="22"/>
        </w:rPr>
      </w:pPr>
    </w:p>
    <w:p w14:paraId="40475EFB" w14:textId="77777777" w:rsidR="000C2351" w:rsidRPr="002E1E30" w:rsidRDefault="000C2351" w:rsidP="000C2351">
      <w:pPr>
        <w:jc w:val="both"/>
        <w:rPr>
          <w:sz w:val="22"/>
        </w:rPr>
      </w:pPr>
      <w:r w:rsidRPr="002E1E30">
        <w:rPr>
          <w:sz w:val="22"/>
        </w:rPr>
        <w:t>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w:t>
      </w:r>
      <w:r w:rsidR="00072668">
        <w:rPr>
          <w:sz w:val="22"/>
        </w:rPr>
        <w:t>ams developed to process State a</w:t>
      </w:r>
      <w:r w:rsidRPr="002E1E30">
        <w:rPr>
          <w:sz w:val="22"/>
        </w:rPr>
        <w:t xml:space="preserve">gency data </w:t>
      </w:r>
      <w:proofErr w:type="gramStart"/>
      <w:r w:rsidRPr="002E1E30">
        <w:rPr>
          <w:sz w:val="22"/>
        </w:rPr>
        <w:t>will not be modified without the knowledge and written authorization of the Department of Technology and Information</w:t>
      </w:r>
      <w:proofErr w:type="gramEnd"/>
      <w:r w:rsidRPr="002E1E30">
        <w:rPr>
          <w:sz w:val="22"/>
        </w:rPr>
        <w:t xml:space="preserve">. All data generated from the original source data, shall be the property of the State of Delaware. The control of the disclosure of those data </w:t>
      </w:r>
      <w:proofErr w:type="gramStart"/>
      <w:r w:rsidRPr="002E1E30">
        <w:rPr>
          <w:sz w:val="22"/>
        </w:rPr>
        <w:t>shall be retained</w:t>
      </w:r>
      <w:proofErr w:type="gramEnd"/>
      <w:r w:rsidRPr="002E1E30">
        <w:rPr>
          <w:sz w:val="22"/>
        </w:rPr>
        <w:t xml:space="preserve"> by the State of Delaware and the Department of Technology and Information. </w:t>
      </w:r>
    </w:p>
    <w:p w14:paraId="0D138EB7" w14:textId="77777777" w:rsidR="000C2351" w:rsidRDefault="000C2351" w:rsidP="000C2351">
      <w:pPr>
        <w:jc w:val="both"/>
        <w:rPr>
          <w:sz w:val="22"/>
        </w:rPr>
      </w:pPr>
    </w:p>
    <w:p w14:paraId="4256B98E" w14:textId="77777777" w:rsidR="000C2351" w:rsidRPr="002E1E30" w:rsidRDefault="000C2351" w:rsidP="000C2351">
      <w:pPr>
        <w:jc w:val="both"/>
        <w:rPr>
          <w:sz w:val="22"/>
        </w:rPr>
      </w:pPr>
      <w:r w:rsidRPr="002E1E30">
        <w:rPr>
          <w:sz w:val="22"/>
        </w:rPr>
        <w:t xml:space="preserve">I/we, as an employee(s) of </w:t>
      </w:r>
      <w:r w:rsidRPr="002E1E30">
        <w:rPr>
          <w:sz w:val="22"/>
          <w:highlight w:val="lightGray"/>
          <w:u w:val="single"/>
        </w:rPr>
        <w:t>______________________</w:t>
      </w:r>
      <w:r w:rsidRPr="002E1E30">
        <w:rPr>
          <w:sz w:val="22"/>
        </w:rPr>
        <w:t xml:space="preserve"> or officer of my firm, when performing work for the Department of Technology and Information,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w:t>
      </w:r>
      <w:proofErr w:type="gramStart"/>
      <w:r w:rsidRPr="002E1E30">
        <w:rPr>
          <w:sz w:val="22"/>
        </w:rPr>
        <w:t>situation which</w:t>
      </w:r>
      <w:proofErr w:type="gramEnd"/>
      <w:r w:rsidRPr="002E1E30">
        <w:rPr>
          <w:sz w:val="22"/>
        </w:rPr>
        <w:t xml:space="preserve"> might result in, or create the appearance of, unauthorized use, disclosure or modification of State data. </w:t>
      </w:r>
    </w:p>
    <w:p w14:paraId="14194379" w14:textId="77777777" w:rsidR="000C2351" w:rsidRDefault="000C2351" w:rsidP="000C2351">
      <w:pPr>
        <w:jc w:val="both"/>
        <w:rPr>
          <w:sz w:val="22"/>
        </w:rPr>
      </w:pPr>
    </w:p>
    <w:p w14:paraId="283E25FE" w14:textId="77777777" w:rsidR="000C2351" w:rsidRPr="002E1E30" w:rsidRDefault="000C2351" w:rsidP="000C2351">
      <w:pPr>
        <w:jc w:val="both"/>
        <w:rPr>
          <w:sz w:val="22"/>
        </w:rPr>
      </w:pPr>
      <w:r w:rsidRPr="002E1E30">
        <w:rPr>
          <w:sz w:val="22"/>
        </w:rPr>
        <w:t xml:space="preserve">Penalty for unauthorized use, unauthorized modification of data files, or disclosure of any confidential information may mean the loss of my position and benefits, and prosecution under applicable State or Federal law. </w:t>
      </w:r>
    </w:p>
    <w:p w14:paraId="73443B1E" w14:textId="77777777" w:rsidR="000C2351" w:rsidRDefault="000C2351" w:rsidP="000C2351">
      <w:pPr>
        <w:jc w:val="both"/>
        <w:rPr>
          <w:sz w:val="22"/>
        </w:rPr>
      </w:pPr>
    </w:p>
    <w:p w14:paraId="1B9CD06F" w14:textId="77777777" w:rsidR="000C2351" w:rsidRPr="002E1E30" w:rsidRDefault="000C2351" w:rsidP="000C2351">
      <w:pPr>
        <w:jc w:val="both"/>
        <w:rPr>
          <w:sz w:val="22"/>
        </w:rPr>
      </w:pPr>
      <w:r w:rsidRPr="002E1E30">
        <w:rPr>
          <w:sz w:val="22"/>
        </w:rPr>
        <w:t>This statement applies to the undersigned Contractor and to any others working under the Contractor’s direction.</w:t>
      </w:r>
    </w:p>
    <w:p w14:paraId="69F4E067" w14:textId="77777777" w:rsidR="000C2351" w:rsidRPr="002E1E30" w:rsidRDefault="000C2351" w:rsidP="000C2351">
      <w:pPr>
        <w:jc w:val="both"/>
        <w:rPr>
          <w:sz w:val="22"/>
        </w:rPr>
      </w:pPr>
    </w:p>
    <w:p w14:paraId="7251C474" w14:textId="77777777" w:rsidR="000C2351" w:rsidRPr="002E1E30" w:rsidRDefault="000C2351" w:rsidP="000C2351">
      <w:pPr>
        <w:jc w:val="both"/>
        <w:rPr>
          <w:sz w:val="22"/>
        </w:rPr>
      </w:pPr>
      <w:r w:rsidRPr="002E1E30">
        <w:rPr>
          <w:sz w:val="22"/>
        </w:rPr>
        <w:t>I, the Undersigned, hereby affirm that I have read DTI’s Policy on Confidentiality (Non-Disclosure) and Integrity of Data and understood the terms of the above Confidentiality (Non-Disclosure) and Integrity of Data Agreement, and that I/we agree to abide by the terms above.</w:t>
      </w:r>
    </w:p>
    <w:p w14:paraId="45EA8BB4" w14:textId="77777777" w:rsidR="000C2351" w:rsidRDefault="000C2351" w:rsidP="000C2351">
      <w:pPr>
        <w:rPr>
          <w:sz w:val="22"/>
        </w:rPr>
      </w:pPr>
    </w:p>
    <w:p w14:paraId="51FE5214" w14:textId="77777777" w:rsidR="000C2351" w:rsidRDefault="000C2351" w:rsidP="000C2351">
      <w:pPr>
        <w:rPr>
          <w:sz w:val="22"/>
        </w:rPr>
      </w:pPr>
    </w:p>
    <w:p w14:paraId="249FB35E" w14:textId="77777777" w:rsidR="000C2351" w:rsidRPr="000F603F" w:rsidRDefault="000C2351" w:rsidP="000C2351">
      <w:pPr>
        <w:spacing w:line="200" w:lineRule="exact"/>
        <w:rPr>
          <w:rFonts w:asciiTheme="minorHAnsi" w:hAnsiTheme="minorHAnsi" w:cstheme="minorHAnsi"/>
          <w:sz w:val="22"/>
          <w:szCs w:val="22"/>
        </w:rPr>
      </w:pPr>
    </w:p>
    <w:p w14:paraId="1DB0D86B" w14:textId="77777777" w:rsidR="000C2351" w:rsidRPr="000F603F" w:rsidRDefault="000C2351" w:rsidP="000C2351">
      <w:pPr>
        <w:tabs>
          <w:tab w:val="left" w:pos="4420"/>
          <w:tab w:val="left" w:pos="9820"/>
        </w:tabs>
        <w:spacing w:line="240" w:lineRule="exact"/>
        <w:ind w:right="-20"/>
        <w:rPr>
          <w:rFonts w:asciiTheme="minorHAnsi" w:eastAsia="Calibri" w:hAnsiTheme="minorHAnsi" w:cstheme="minorHAnsi"/>
          <w:b/>
          <w:bCs/>
          <w:spacing w:val="-1"/>
          <w:w w:val="99"/>
          <w:sz w:val="22"/>
          <w:szCs w:val="22"/>
        </w:rPr>
      </w:pPr>
    </w:p>
    <w:p w14:paraId="246B4E59"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spacing w:val="-1"/>
          <w:w w:val="99"/>
          <w:sz w:val="22"/>
          <w:szCs w:val="22"/>
        </w:rPr>
        <w:t xml:space="preserve">Vendor </w:t>
      </w:r>
      <w:r w:rsidRPr="004B7CC7">
        <w:rPr>
          <w:rFonts w:asciiTheme="minorHAnsi" w:eastAsia="Calibri" w:hAnsiTheme="minorHAnsi" w:cstheme="minorHAnsi"/>
          <w:b/>
          <w:bCs/>
          <w:spacing w:val="1"/>
          <w:w w:val="99"/>
          <w:sz w:val="22"/>
          <w:szCs w:val="22"/>
        </w:rPr>
        <w:t>N</w:t>
      </w:r>
      <w:r w:rsidRPr="004B7CC7">
        <w:rPr>
          <w:rFonts w:asciiTheme="minorHAnsi" w:eastAsia="Calibri" w:hAnsiTheme="minorHAnsi" w:cstheme="minorHAnsi"/>
          <w:b/>
          <w:bCs/>
          <w:w w:val="99"/>
          <w:sz w:val="22"/>
          <w:szCs w:val="22"/>
        </w:rPr>
        <w:t>a</w:t>
      </w:r>
      <w:r w:rsidRPr="004B7CC7">
        <w:rPr>
          <w:rFonts w:asciiTheme="minorHAnsi" w:eastAsia="Calibri" w:hAnsiTheme="minorHAnsi" w:cstheme="minorHAnsi"/>
          <w:b/>
          <w:bCs/>
          <w:spacing w:val="1"/>
          <w:w w:val="99"/>
          <w:sz w:val="22"/>
          <w:szCs w:val="22"/>
        </w:rPr>
        <w:t>m</w:t>
      </w:r>
      <w:r w:rsidRPr="004B7CC7">
        <w:rPr>
          <w:rFonts w:asciiTheme="minorHAnsi" w:eastAsia="Calibri" w:hAnsiTheme="minorHAnsi" w:cstheme="minorHAnsi"/>
          <w:b/>
          <w:bCs/>
          <w:spacing w:val="3"/>
          <w:w w:val="99"/>
          <w:sz w:val="22"/>
          <w:szCs w:val="22"/>
        </w:rPr>
        <w:t>e</w:t>
      </w:r>
      <w:r w:rsidRPr="004B7CC7">
        <w:rPr>
          <w:rFonts w:asciiTheme="minorHAnsi" w:eastAsia="Calibri" w:hAnsiTheme="minorHAnsi" w:cstheme="minorHAnsi"/>
          <w:b/>
          <w:bCs/>
          <w:w w:val="99"/>
          <w:sz w:val="22"/>
          <w:szCs w:val="22"/>
        </w:rPr>
        <w:t xml:space="preserve">:          </w:t>
      </w:r>
      <w:r w:rsidRPr="004B7CC7">
        <w:rPr>
          <w:rFonts w:asciiTheme="minorHAnsi" w:eastAsia="Calibri" w:hAnsiTheme="minorHAnsi" w:cstheme="minorHAnsi"/>
          <w:b/>
          <w:bCs/>
          <w:w w:val="99"/>
          <w:sz w:val="22"/>
          <w:szCs w:val="22"/>
        </w:rPr>
        <w:tab/>
        <w:t>__________________________________________________</w:t>
      </w:r>
    </w:p>
    <w:p w14:paraId="43A97F21" w14:textId="77777777" w:rsidR="000C2351" w:rsidRPr="004B7CC7" w:rsidRDefault="000C2351" w:rsidP="000C2351">
      <w:pPr>
        <w:tabs>
          <w:tab w:val="left" w:pos="9360"/>
          <w:tab w:val="left" w:pos="9820"/>
        </w:tabs>
        <w:spacing w:line="240" w:lineRule="exact"/>
        <w:ind w:right="-20"/>
        <w:rPr>
          <w:rFonts w:asciiTheme="minorHAnsi" w:eastAsia="Calibri" w:hAnsiTheme="minorHAnsi" w:cstheme="minorHAnsi"/>
          <w:b/>
          <w:bCs/>
          <w:w w:val="99"/>
          <w:sz w:val="22"/>
          <w:szCs w:val="22"/>
        </w:rPr>
      </w:pPr>
    </w:p>
    <w:p w14:paraId="587EE3D0" w14:textId="77777777" w:rsidR="000C2351" w:rsidRPr="004B7CC7" w:rsidRDefault="000C2351" w:rsidP="000C2351">
      <w:pPr>
        <w:tabs>
          <w:tab w:val="left" w:pos="9360"/>
          <w:tab w:val="left" w:pos="9820"/>
        </w:tabs>
        <w:spacing w:line="240" w:lineRule="exact"/>
        <w:ind w:right="-20"/>
        <w:rPr>
          <w:rFonts w:asciiTheme="minorHAnsi" w:eastAsia="Calibri" w:hAnsiTheme="minorHAnsi" w:cstheme="minorHAnsi"/>
          <w:b/>
          <w:bCs/>
          <w:w w:val="99"/>
          <w:sz w:val="22"/>
          <w:szCs w:val="22"/>
        </w:rPr>
      </w:pPr>
    </w:p>
    <w:p w14:paraId="16F67FB4"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w w:val="99"/>
          <w:sz w:val="22"/>
          <w:szCs w:val="22"/>
        </w:rPr>
        <w:t xml:space="preserve">Authorizing Official Name (print): </w:t>
      </w:r>
      <w:r w:rsidRPr="004B7CC7">
        <w:rPr>
          <w:rFonts w:asciiTheme="minorHAnsi" w:eastAsia="Calibri" w:hAnsiTheme="minorHAnsi" w:cstheme="minorHAnsi"/>
          <w:b/>
          <w:bCs/>
          <w:w w:val="99"/>
          <w:sz w:val="22"/>
          <w:szCs w:val="22"/>
        </w:rPr>
        <w:tab/>
        <w:t>__________________________________________________</w:t>
      </w:r>
    </w:p>
    <w:p w14:paraId="098DC767"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p>
    <w:p w14:paraId="1F2777F0"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p>
    <w:p w14:paraId="4830EA89"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w w:val="99"/>
          <w:sz w:val="22"/>
          <w:szCs w:val="22"/>
        </w:rPr>
        <w:t xml:space="preserve">Authorizing Official Signature:  </w:t>
      </w:r>
      <w:r w:rsidRPr="004B7CC7">
        <w:rPr>
          <w:rFonts w:asciiTheme="minorHAnsi" w:eastAsia="Calibri" w:hAnsiTheme="minorHAnsi" w:cstheme="minorHAnsi"/>
          <w:b/>
          <w:bCs/>
          <w:w w:val="99"/>
          <w:sz w:val="22"/>
          <w:szCs w:val="22"/>
        </w:rPr>
        <w:tab/>
        <w:t xml:space="preserve">__________________________________________________  </w:t>
      </w:r>
      <w:r w:rsidRPr="004B7CC7">
        <w:rPr>
          <w:rFonts w:asciiTheme="minorHAnsi" w:eastAsia="Calibri" w:hAnsiTheme="minorHAnsi" w:cstheme="minorHAnsi"/>
          <w:b/>
          <w:bCs/>
          <w:w w:val="99"/>
          <w:sz w:val="22"/>
          <w:szCs w:val="22"/>
        </w:rPr>
        <w:tab/>
        <w:t xml:space="preserve">                 </w:t>
      </w:r>
    </w:p>
    <w:p w14:paraId="17A25407"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p>
    <w:p w14:paraId="497E443E" w14:textId="77777777" w:rsidR="000C2351" w:rsidRPr="004B7CC7" w:rsidRDefault="000C2351" w:rsidP="000C2351">
      <w:r w:rsidRPr="004B7CC7">
        <w:rPr>
          <w:rFonts w:asciiTheme="minorHAnsi" w:eastAsia="Calibri" w:hAnsiTheme="minorHAnsi" w:cstheme="minorHAnsi"/>
          <w:b/>
          <w:bCs/>
          <w:w w:val="99"/>
          <w:sz w:val="22"/>
          <w:szCs w:val="22"/>
        </w:rPr>
        <w:t>Date:</w:t>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t xml:space="preserve">__________________________________________________ </w:t>
      </w:r>
      <w:r w:rsidRPr="004B7CC7">
        <w:rPr>
          <w:rFonts w:asciiTheme="minorHAnsi" w:eastAsia="Calibri" w:hAnsiTheme="minorHAnsi" w:cstheme="minorHAnsi"/>
          <w:b/>
          <w:bCs/>
          <w:w w:val="99"/>
          <w:sz w:val="22"/>
          <w:szCs w:val="22"/>
        </w:rPr>
        <w:tab/>
      </w:r>
    </w:p>
    <w:p w14:paraId="0C0CE51B" w14:textId="77777777" w:rsidR="000C2351" w:rsidRPr="004B7CC7" w:rsidRDefault="000C2351" w:rsidP="000C2351">
      <w:pPr>
        <w:rPr>
          <w:sz w:val="22"/>
        </w:rPr>
      </w:pPr>
    </w:p>
    <w:p w14:paraId="4894C65D" w14:textId="74766CD7" w:rsidR="00CF05E9" w:rsidRPr="00DE58DF" w:rsidRDefault="00CF05E9" w:rsidP="00DE58DF">
      <w:pPr>
        <w:rPr>
          <w:rFonts w:ascii="Arial Black" w:hAnsi="Arial Black"/>
          <w:b/>
          <w:sz w:val="28"/>
          <w:szCs w:val="28"/>
        </w:rPr>
      </w:pPr>
      <w:r>
        <w:br w:type="page"/>
      </w:r>
    </w:p>
    <w:p w14:paraId="0E8AA92B" w14:textId="3F14DADA" w:rsidR="002A380A" w:rsidRDefault="002A380A" w:rsidP="002A380A">
      <w:pPr>
        <w:pStyle w:val="Heading4"/>
        <w:rPr>
          <w:sz w:val="20"/>
          <w:szCs w:val="20"/>
        </w:rPr>
      </w:pPr>
      <w:r>
        <w:t xml:space="preserve">Appendix </w:t>
      </w:r>
      <w:r w:rsidR="009279C5">
        <w:t>E</w:t>
      </w:r>
      <w:r>
        <w:t xml:space="preserve">: </w:t>
      </w:r>
      <w:r w:rsidR="00A27D5B">
        <w:t xml:space="preserve">General </w:t>
      </w:r>
      <w:r>
        <w:t>DTI Requirements &amp; Guidelines</w:t>
      </w:r>
    </w:p>
    <w:p w14:paraId="78887FC1" w14:textId="77777777" w:rsidR="00C05AA8" w:rsidRDefault="00CF618C">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sidR="00131BCC" w:rsidRPr="00CC34E6">
        <w:rPr>
          <w:sz w:val="20"/>
          <w:szCs w:val="20"/>
        </w:rPr>
        <w:t>TRE19202-LOCALBANKS</w:t>
      </w:r>
    </w:p>
    <w:p w14:paraId="7B9EA114" w14:textId="3A385447" w:rsidR="00B92820" w:rsidRDefault="00B92820"/>
    <w:p w14:paraId="70EC1067" w14:textId="77777777" w:rsidR="00E76B14" w:rsidRDefault="00E76B14" w:rsidP="00E76B14">
      <w:r>
        <w:t>1.</w:t>
      </w:r>
      <w:r>
        <w:tab/>
        <w:t>TECHNOLOGY AND INFORMATION TERMS</w:t>
      </w:r>
    </w:p>
    <w:p w14:paraId="2B3E3AAD" w14:textId="77777777" w:rsidR="00E76B14" w:rsidRDefault="00E76B14" w:rsidP="00E76B14"/>
    <w:p w14:paraId="0D5DD10C" w14:textId="77777777" w:rsidR="00E76B14" w:rsidRDefault="00E76B14" w:rsidP="00E76B14">
      <w:r>
        <w:t>A.</w:t>
      </w:r>
      <w:r>
        <w:tab/>
        <w:t>Proof of Concept (POC)</w:t>
      </w:r>
    </w:p>
    <w:p w14:paraId="632976CC" w14:textId="77777777" w:rsidR="00E76B14" w:rsidRDefault="00E76B14" w:rsidP="00E76B14">
      <w:r>
        <w:t>For successful execution of the Program, a POC must be completed and test events approved by the Department before the Program is set to operational status. The following Program documentation will be validated during the POC: Department provided Work Instructions (WI) for each asset type enrolled in the program, Department defined Business Rules, Return Instructions, and procedures for management of retired/obsolete/bad stock.</w:t>
      </w:r>
    </w:p>
    <w:p w14:paraId="48BF6E37" w14:textId="77777777" w:rsidR="00E76B14" w:rsidRDefault="00E76B14" w:rsidP="00E76B14"/>
    <w:p w14:paraId="72F4025A" w14:textId="77777777" w:rsidR="00E76B14" w:rsidRDefault="00E76B14" w:rsidP="00E76B14">
      <w:r>
        <w:t>B.</w:t>
      </w:r>
      <w:r>
        <w:tab/>
        <w:t>On Premise Solutions</w:t>
      </w:r>
    </w:p>
    <w:p w14:paraId="160B36C0" w14:textId="77777777" w:rsidR="00E76B14" w:rsidRDefault="00E76B14" w:rsidP="00E76B14">
      <w:r>
        <w:t xml:space="preserve">For on premise solutions, vendor(s) shall be responsible for ensuring that all services, products and deliverables furnished to the State are consistent with practices utilized by, or policies and standards promulgated by, the Department of Technology and Information (DTI) published at http://dti.delaware.gov/information/standards-policies.shtml. </w:t>
      </w:r>
    </w:p>
    <w:p w14:paraId="4740278F" w14:textId="77777777" w:rsidR="00E76B14" w:rsidRDefault="00E76B14" w:rsidP="00E76B14"/>
    <w:p w14:paraId="033A818E" w14:textId="77777777" w:rsidR="00E76B14" w:rsidRDefault="00E76B14" w:rsidP="00E76B14">
      <w:r>
        <w:t>The awarded vendor, on a quarterly basis, should review referenced policies and standards after contract execution to ensure continued compliance. If any service, product or deliverable furnished by a contractor(s) does not conform to State policies, standards or general practices, the contractor(s) shall, at its expense and option either (1) replace it with a conforming equivalent or (2) modify it to conform to State policies, standards or practices.</w:t>
      </w:r>
    </w:p>
    <w:p w14:paraId="7688C793" w14:textId="77777777" w:rsidR="00E76B14" w:rsidRDefault="00E76B14" w:rsidP="00E76B14"/>
    <w:p w14:paraId="785D4BEF" w14:textId="77777777" w:rsidR="00E76B14" w:rsidRDefault="00E76B14" w:rsidP="00E76B14">
      <w:r>
        <w:t>C.</w:t>
      </w:r>
      <w:r>
        <w:tab/>
        <w:t>Personally Identifiable Information</w:t>
      </w:r>
    </w:p>
    <w:p w14:paraId="2E371892" w14:textId="77777777" w:rsidR="00E76B14" w:rsidRDefault="00E76B14" w:rsidP="00E76B14"/>
    <w:p w14:paraId="12B65F8D" w14:textId="77777777" w:rsidR="00E76B14" w:rsidRDefault="00E76B14" w:rsidP="00E76B14">
      <w:r>
        <w:t xml:space="preserve">Information or data, alone or in combination, that identifies or authenticates a particular individual. </w:t>
      </w:r>
      <w:proofErr w:type="gramStart"/>
      <w:r>
        <w:t>Such information or data may include, without limitation, Name, Date of birth, Full address (e.g. house number, city, state, and/or zip code), Phone Number, Passwords, PINs, Federal or state tax information, Biometric data, Unique identification numbers (e.g. driver's license number, social security number, credit or debit account numbers, medical records numbers), Criminal history, Citizenship status, Medical information, Financial Information, Usernames, Answers to security questions or other personal identifiers.</w:t>
      </w:r>
      <w:proofErr w:type="gramEnd"/>
    </w:p>
    <w:p w14:paraId="797C54C6" w14:textId="77777777" w:rsidR="00E76B14" w:rsidRDefault="00E76B14" w:rsidP="00E76B14"/>
    <w:p w14:paraId="31CD24BE" w14:textId="77777777" w:rsidR="00E76B14" w:rsidRDefault="00E76B14" w:rsidP="00E76B14">
      <w:r>
        <w:t>Information or data that meets the definition ascribed to the term “Personal Information” under Delaware Code Title 6 § 12B-101 Title 6, §1202C, and Title 29 §9017C or any other applicable State of Delaware or Federal law.</w:t>
      </w:r>
    </w:p>
    <w:p w14:paraId="26076DC2" w14:textId="77777777" w:rsidR="00E76B14" w:rsidRDefault="00E76B14" w:rsidP="00E76B14"/>
    <w:p w14:paraId="060A7210" w14:textId="77777777" w:rsidR="00E76B14" w:rsidRDefault="00E76B14" w:rsidP="00E76B14">
      <w:r>
        <w:t>D.</w:t>
      </w:r>
      <w:r>
        <w:tab/>
        <w:t>IRS Data</w:t>
      </w:r>
    </w:p>
    <w:p w14:paraId="59C68755" w14:textId="77777777" w:rsidR="00E76B14" w:rsidRDefault="00E76B14" w:rsidP="00E76B14">
      <w:r>
        <w:t>Any situations involving IRS Data Require adherence to the IRS Safeguarding Contract Language below. Any language conflict in this section with terms in this contract will cause the more stringent to apply in situations involving IRS Data.  The IRS or another governing body may impose sanctions referenced in this section.</w:t>
      </w:r>
    </w:p>
    <w:p w14:paraId="3042B893" w14:textId="77777777" w:rsidR="00E76B14" w:rsidRDefault="00E76B14" w:rsidP="00E76B14"/>
    <w:p w14:paraId="0AAF9A13" w14:textId="77777777" w:rsidR="00E76B14" w:rsidRDefault="00E76B14" w:rsidP="00E76B14">
      <w:r>
        <w:t>1.</w:t>
      </w:r>
      <w:r>
        <w:tab/>
        <w:t>IRS 1075 PUBLICATION: EXHIBIT 7, Contract Language for Technology Services</w:t>
      </w:r>
    </w:p>
    <w:p w14:paraId="0DB68700" w14:textId="77777777" w:rsidR="00E76B14" w:rsidRDefault="00E76B14" w:rsidP="00E76B14"/>
    <w:p w14:paraId="2E65B20A" w14:textId="77777777" w:rsidR="00E76B14" w:rsidRDefault="00E76B14" w:rsidP="00A27D5B">
      <w:pPr>
        <w:ind w:firstLine="720"/>
      </w:pPr>
      <w:r>
        <w:t>a.</w:t>
      </w:r>
      <w:r>
        <w:tab/>
        <w:t>PERFORMANCE</w:t>
      </w:r>
    </w:p>
    <w:p w14:paraId="0E6BF577" w14:textId="77777777" w:rsidR="00E76B14" w:rsidRDefault="00E76B14" w:rsidP="00E76B14"/>
    <w:p w14:paraId="5EB482D0" w14:textId="77777777" w:rsidR="00E76B14" w:rsidRDefault="00E76B14" w:rsidP="00E76B14">
      <w:r>
        <w:t>In performance of this contract, the contractor agrees to comply with and assume responsibility for compliance by his or her employees with the following requirements:</w:t>
      </w:r>
    </w:p>
    <w:p w14:paraId="4E0B4253" w14:textId="77777777" w:rsidR="00E76B14" w:rsidRDefault="00E76B14" w:rsidP="00E76B14"/>
    <w:p w14:paraId="20FC3F0C" w14:textId="77777777" w:rsidR="00E76B14" w:rsidRDefault="00E76B14" w:rsidP="00A27D5B">
      <w:pPr>
        <w:ind w:left="720" w:firstLine="720"/>
      </w:pPr>
      <w:proofErr w:type="spellStart"/>
      <w:r>
        <w:t>i</w:t>
      </w:r>
      <w:proofErr w:type="spellEnd"/>
      <w:r>
        <w:t>.</w:t>
      </w:r>
      <w:r>
        <w:tab/>
        <w:t xml:space="preserve">All work </w:t>
      </w:r>
      <w:proofErr w:type="gramStart"/>
      <w:r>
        <w:t>will be done</w:t>
      </w:r>
      <w:proofErr w:type="gramEnd"/>
      <w:r>
        <w:t xml:space="preserve"> under the supervision of the contractor or the contractor's employees. </w:t>
      </w:r>
    </w:p>
    <w:p w14:paraId="080B817C" w14:textId="77777777" w:rsidR="00E76B14" w:rsidRDefault="00E76B14" w:rsidP="00E76B14"/>
    <w:p w14:paraId="3C732885" w14:textId="77777777" w:rsidR="00E76B14" w:rsidRDefault="00E76B14" w:rsidP="00A27D5B">
      <w:pPr>
        <w:ind w:left="720" w:firstLine="720"/>
      </w:pPr>
      <w:proofErr w:type="gramStart"/>
      <w:r>
        <w:t>ii.</w:t>
      </w:r>
      <w:r>
        <w:tab/>
        <w:t>The contractor and the contractor’s employees with access to or who use FTI</w:t>
      </w:r>
      <w:proofErr w:type="gramEnd"/>
      <w:r>
        <w:t xml:space="preserve"> must meet the background check requirements defined in IRS Publication 1075. </w:t>
      </w:r>
    </w:p>
    <w:p w14:paraId="28E6522E" w14:textId="77777777" w:rsidR="00E76B14" w:rsidRDefault="00E76B14" w:rsidP="00E76B14"/>
    <w:p w14:paraId="26EB7CB7" w14:textId="77777777" w:rsidR="00E76B14" w:rsidRDefault="00E76B14" w:rsidP="00A27D5B">
      <w:pPr>
        <w:ind w:left="720" w:firstLine="720"/>
      </w:pPr>
      <w:r>
        <w:t>iii.</w:t>
      </w:r>
      <w:r>
        <w:tab/>
        <w:t xml:space="preserve">Any return or return information made available in any format shall be used only </w:t>
      </w:r>
      <w:proofErr w:type="gramStart"/>
      <w:r>
        <w:t>for the purpose of</w:t>
      </w:r>
      <w:proofErr w:type="gramEnd"/>
      <w:r>
        <w:t xml:space="preserve"> carrying out the provisions of this contract. Information contained in such material </w:t>
      </w:r>
      <w:proofErr w:type="gramStart"/>
      <w:r>
        <w:t>will be treated</w:t>
      </w:r>
      <w:proofErr w:type="gramEnd"/>
      <w:r>
        <w:t xml:space="preserve"> as confidential and will not be divulged or made known in any manner to any person except as may be necessary in the performance of this contract. Disclosure to anyone other than an officer or employee of the contractor </w:t>
      </w:r>
      <w:proofErr w:type="gramStart"/>
      <w:r>
        <w:t>will be prohibited</w:t>
      </w:r>
      <w:proofErr w:type="gramEnd"/>
      <w:r>
        <w:t>.</w:t>
      </w:r>
    </w:p>
    <w:p w14:paraId="331C2F54" w14:textId="77777777" w:rsidR="00E76B14" w:rsidRDefault="00E76B14" w:rsidP="00E76B14"/>
    <w:p w14:paraId="5B5081DB" w14:textId="77777777" w:rsidR="00E76B14" w:rsidRDefault="00E76B14" w:rsidP="00A27D5B">
      <w:pPr>
        <w:ind w:left="720" w:firstLine="720"/>
      </w:pPr>
      <w:r>
        <w:t>iv.</w:t>
      </w:r>
      <w:r>
        <w:tab/>
        <w:t xml:space="preserve">All returns and return information </w:t>
      </w:r>
      <w:proofErr w:type="gramStart"/>
      <w:r>
        <w:t>will be accounted for upon receipt and properly stored before, during, and after processing</w:t>
      </w:r>
      <w:proofErr w:type="gramEnd"/>
      <w:r>
        <w:t xml:space="preserve">. In addition, all related output </w:t>
      </w:r>
      <w:proofErr w:type="gramStart"/>
      <w:r>
        <w:t>will be given</w:t>
      </w:r>
      <w:proofErr w:type="gramEnd"/>
      <w:r>
        <w:t xml:space="preserve"> the same level of protection as required for the source material. </w:t>
      </w:r>
    </w:p>
    <w:p w14:paraId="3A928E51" w14:textId="77777777" w:rsidR="00E76B14" w:rsidRDefault="00E76B14" w:rsidP="00E76B14"/>
    <w:p w14:paraId="236A9883" w14:textId="77777777" w:rsidR="00E76B14" w:rsidRDefault="00E76B14" w:rsidP="00A27D5B">
      <w:pPr>
        <w:ind w:left="720" w:firstLine="720"/>
      </w:pPr>
      <w:r>
        <w:t>v.</w:t>
      </w:r>
      <w:r>
        <w:tab/>
        <w:t xml:space="preserve">The contractor certifies that the data processed during the performance of this contract will be completely purged from all data storage components of his or her computer facility, and </w:t>
      </w:r>
      <w:proofErr w:type="gramStart"/>
      <w:r>
        <w:t>no output will be retained by the contractor</w:t>
      </w:r>
      <w:proofErr w:type="gramEnd"/>
      <w:r>
        <w:t xml:space="preserve"> at the time the work is completed. If immediate purging of all data storage components is not possible, the contractor certifies that any IRS data remaining in any storage component </w:t>
      </w:r>
      <w:proofErr w:type="gramStart"/>
      <w:r>
        <w:t>will be safeguarded</w:t>
      </w:r>
      <w:proofErr w:type="gramEnd"/>
      <w:r>
        <w:t xml:space="preserve"> to prevent unauthorized disclosures. </w:t>
      </w:r>
    </w:p>
    <w:p w14:paraId="4B69A052" w14:textId="77777777" w:rsidR="00E76B14" w:rsidRDefault="00E76B14" w:rsidP="00E76B14"/>
    <w:p w14:paraId="2E38559D" w14:textId="77777777" w:rsidR="00E76B14" w:rsidRDefault="00E76B14" w:rsidP="00A27D5B">
      <w:pPr>
        <w:ind w:left="720" w:firstLine="720"/>
      </w:pPr>
      <w:r>
        <w:t>vi.</w:t>
      </w:r>
      <w:r>
        <w:tab/>
        <w:t xml:space="preserve">Any spoilage or any intermediate hard copy printout that may result during the processing of IRS data </w:t>
      </w:r>
      <w:proofErr w:type="gramStart"/>
      <w:r>
        <w:t>will be given</w:t>
      </w:r>
      <w:proofErr w:type="gramEnd"/>
      <w:r>
        <w:t xml:space="preserve"> to the agency or his or her designee. When this is not possible, the contractor will be responsible for the destruction of the spoilage or any intermediate hard copy printouts, and will provide the agency or his or her designee with a statement containing the date of destruction, description of material destroyed, and the method used. </w:t>
      </w:r>
    </w:p>
    <w:p w14:paraId="42392A1F" w14:textId="77777777" w:rsidR="00E76B14" w:rsidRDefault="00E76B14" w:rsidP="00E76B14"/>
    <w:p w14:paraId="2611C90C" w14:textId="77777777" w:rsidR="00E76B14" w:rsidRDefault="00E76B14" w:rsidP="00A27D5B">
      <w:pPr>
        <w:ind w:left="720" w:firstLine="720"/>
      </w:pPr>
      <w:r>
        <w:t>vii.</w:t>
      </w:r>
      <w:r>
        <w:tab/>
        <w:t>All computer systems receiving, processing, storing or transmitting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135A8669" w14:textId="77777777" w:rsidR="00E76B14" w:rsidRDefault="00E76B14" w:rsidP="00E76B14"/>
    <w:p w14:paraId="12E334B4" w14:textId="77777777" w:rsidR="00E76B14" w:rsidRDefault="00E76B14" w:rsidP="00A27D5B">
      <w:pPr>
        <w:ind w:left="720" w:firstLine="720"/>
      </w:pPr>
      <w:r>
        <w:t>viii.</w:t>
      </w:r>
      <w:r>
        <w:tab/>
        <w:t xml:space="preserve">No work involving Federal Tax Information furnished under this contract </w:t>
      </w:r>
      <w:proofErr w:type="gramStart"/>
      <w:r>
        <w:t>will be subcontracted</w:t>
      </w:r>
      <w:proofErr w:type="gramEnd"/>
      <w:r>
        <w:t xml:space="preserve"> without prior written approval of the IRS. </w:t>
      </w:r>
    </w:p>
    <w:p w14:paraId="3169869A" w14:textId="77777777" w:rsidR="00E76B14" w:rsidRDefault="00E76B14" w:rsidP="00E76B14"/>
    <w:p w14:paraId="385D980A" w14:textId="77777777" w:rsidR="00E76B14" w:rsidRDefault="00E76B14" w:rsidP="00A27D5B">
      <w:pPr>
        <w:ind w:left="720" w:firstLine="720"/>
      </w:pPr>
      <w:r>
        <w:t>ix.</w:t>
      </w:r>
      <w:r>
        <w:tab/>
        <w:t xml:space="preserve">The contractor will maintain a list of employees authorized access. Such list </w:t>
      </w:r>
      <w:proofErr w:type="gramStart"/>
      <w:r>
        <w:t>will be provided</w:t>
      </w:r>
      <w:proofErr w:type="gramEnd"/>
      <w:r>
        <w:t xml:space="preserve"> to the agency and, upon request, to the IRS reviewing office. (10) The agency will have the right to void the contract if the contractor fails to provide the safeguards described above. </w:t>
      </w:r>
    </w:p>
    <w:p w14:paraId="799E8628" w14:textId="77777777" w:rsidR="00E76B14" w:rsidRDefault="00E76B14" w:rsidP="00E76B14"/>
    <w:p w14:paraId="518D9428" w14:textId="77777777" w:rsidR="00E76B14" w:rsidRDefault="00E76B14" w:rsidP="00A27D5B">
      <w:pPr>
        <w:ind w:firstLine="720"/>
      </w:pPr>
      <w:r>
        <w:t>b.</w:t>
      </w:r>
      <w:r>
        <w:tab/>
        <w:t>CRIMINAL/CIVIL SANCTIONS</w:t>
      </w:r>
    </w:p>
    <w:p w14:paraId="3F79A476" w14:textId="77777777" w:rsidR="00E76B14" w:rsidRDefault="00E76B14" w:rsidP="00E76B14"/>
    <w:p w14:paraId="38A72C38" w14:textId="6498A82D" w:rsidR="00E76B14" w:rsidRDefault="00E76B14" w:rsidP="00A27D5B">
      <w:pPr>
        <w:pStyle w:val="ListParagraph"/>
        <w:numPr>
          <w:ilvl w:val="0"/>
          <w:numId w:val="170"/>
        </w:numPr>
      </w:pPr>
      <w:proofErr w:type="gramStart"/>
      <w: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w:t>
      </w:r>
      <w:proofErr w:type="gramEnd"/>
      <w:r>
        <w:t xml:space="preserve">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w:t>
      </w:r>
      <w:proofErr w:type="gramStart"/>
      <w:r>
        <w:t>are prescribed by IRCs 7213 and 7431 and set forth at 26 CFR 301.6103(n)-1</w:t>
      </w:r>
      <w:proofErr w:type="gramEnd"/>
      <w:r>
        <w:t xml:space="preserve">. </w:t>
      </w:r>
    </w:p>
    <w:p w14:paraId="544F5239" w14:textId="77777777" w:rsidR="00A27D5B" w:rsidRDefault="00A27D5B" w:rsidP="00A27D5B">
      <w:pPr>
        <w:pStyle w:val="ListParagraph"/>
        <w:ind w:left="1080"/>
      </w:pPr>
    </w:p>
    <w:p w14:paraId="005822A9" w14:textId="2215EBBD" w:rsidR="00E76B14" w:rsidRDefault="00E76B14" w:rsidP="00A27D5B">
      <w:pPr>
        <w:pStyle w:val="ListParagraph"/>
        <w:ind w:left="1080"/>
      </w:pPr>
      <w:r>
        <w:t>ii.</w:t>
      </w:r>
      <w:r>
        <w:tab/>
        <w:t xml:space="preserve">Each officer or employee of any person to whom returns or return information is or may be disclosed shall be notified in writing by such person that any return or return information made available in any format shall be used only </w:t>
      </w:r>
      <w:proofErr w:type="gramStart"/>
      <w:r>
        <w:t>for the purpose of</w:t>
      </w:r>
      <w:proofErr w:type="gramEnd"/>
      <w:r>
        <w:t xml:space="preserve"> carrying out the provisions of this contract. Information contained in such material </w:t>
      </w:r>
      <w:proofErr w:type="gramStart"/>
      <w:r>
        <w:t>shall be treated</w:t>
      </w:r>
      <w:proofErr w:type="gramEnd"/>
      <w:r>
        <w:t xml:space="preserve"> as confidential and shall not be divulged or made known in any manner to any person except as may be necessary in the performance of the contract. Inspection by or disclosure to anyone without an official need-to-know constitutes a criminal misdemeanor punishable upon conviction by a fine of as much as $1,000 or imprisonment for as long as 1 year, or both, together with the costs of prosecution. </w:t>
      </w:r>
      <w:proofErr w:type="gramStart"/>
      <w:r>
        <w:t>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w:t>
      </w:r>
      <w:proofErr w:type="gramEnd"/>
      <w:r>
        <w:t xml:space="preserve"> These penalties </w:t>
      </w:r>
      <w:proofErr w:type="gramStart"/>
      <w:r>
        <w:t>are prescribed by IRC 7213A and 7431 and set forth at 26 CFR 301.6103(n)-1</w:t>
      </w:r>
      <w:proofErr w:type="gramEnd"/>
      <w:r>
        <w:t>.</w:t>
      </w:r>
    </w:p>
    <w:p w14:paraId="3E01759F" w14:textId="77777777" w:rsidR="00A27D5B" w:rsidRDefault="00A27D5B" w:rsidP="00A27D5B">
      <w:pPr>
        <w:pStyle w:val="ListParagraph"/>
        <w:ind w:left="1080"/>
      </w:pPr>
    </w:p>
    <w:p w14:paraId="5036575B" w14:textId="77777777" w:rsidR="00E76B14" w:rsidRDefault="00E76B14" w:rsidP="00A27D5B">
      <w:pPr>
        <w:ind w:left="720" w:firstLine="720"/>
      </w:pPr>
      <w:r>
        <w:t>iii.</w:t>
      </w:r>
      <w:r>
        <w:tab/>
        <w:t xml:space="preserve">Additionally, it is incumbent upon the contractor to inform its officers and employees of the penalties for improper disclosure imposed by the Privacy Act of 1974, 5 U.S.C. 552a. </w:t>
      </w:r>
      <w:proofErr w:type="gramStart"/>
      <w:r>
        <w:t>Specifically, 5 U.S.C. 552a(</w:t>
      </w:r>
      <w:proofErr w:type="spellStart"/>
      <w:r>
        <w:t>i</w:t>
      </w:r>
      <w:proofErr w:type="spellEnd"/>
      <w:r>
        <w:t>)(1),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roofErr w:type="gramEnd"/>
      <w:r>
        <w:t xml:space="preserve"> </w:t>
      </w:r>
    </w:p>
    <w:p w14:paraId="17A56343" w14:textId="77777777" w:rsidR="00A27D5B" w:rsidRDefault="00A27D5B" w:rsidP="00A27D5B">
      <w:pPr>
        <w:ind w:firstLine="720"/>
      </w:pPr>
    </w:p>
    <w:p w14:paraId="4FC20D1C" w14:textId="01D9B29A" w:rsidR="00E76B14" w:rsidRDefault="00E76B14" w:rsidP="00A27D5B">
      <w:pPr>
        <w:ind w:left="720" w:firstLine="720"/>
      </w:pPr>
      <w:r>
        <w:t>iv.</w:t>
      </w:r>
      <w:r>
        <w:tab/>
        <w:t xml:space="preserve">Granting a contractor access to FTI </w:t>
      </w:r>
      <w:proofErr w:type="gramStart"/>
      <w:r>
        <w:t>must be preceded</w:t>
      </w:r>
      <w:proofErr w:type="gramEnd"/>
      <w:r>
        <w:t xml:space="preserve"> by certifying that each individual understands the agency’s security policy and procedures for safeguarding IRS information. Contractors must maintain their authorization to access FTI through annual recertification. The initial certification and recertification </w:t>
      </w:r>
      <w:proofErr w:type="gramStart"/>
      <w:r>
        <w:t>must be documented and placed in the agency's files for review</w:t>
      </w:r>
      <w:proofErr w:type="gramEnd"/>
      <w:r>
        <w:t xml:space="preserve">. As part of the certification and at least annually afterwards, contractors </w:t>
      </w:r>
      <w:proofErr w:type="gramStart"/>
      <w:r>
        <w:t>must be advised</w:t>
      </w:r>
      <w:proofErr w:type="gramEnd"/>
      <w:r>
        <w:t xml:space="preserve"> of the provisions of IRCs 7431, 7213, and 7213A (see Exhibit 4, Sanctions for Unauthorized Disclosure, and Exhibit 5, Civil Damages for Unauthorized Disclosure). The training provided before the initial certification and annually thereafter </w:t>
      </w:r>
      <w:proofErr w:type="gramStart"/>
      <w:r>
        <w:t>must also</w:t>
      </w:r>
      <w:proofErr w:type="gramEnd"/>
      <w:r>
        <w:t xml:space="preserve"> cover the incident response policy and procedure for reporting unauthorized disclosures and data breaches. (See Section 10) For both the initial certification and the annual certification, the contractor must sign, </w:t>
      </w:r>
      <w:proofErr w:type="gramStart"/>
      <w:r>
        <w:t>either with ink or electronic</w:t>
      </w:r>
      <w:proofErr w:type="gramEnd"/>
      <w:r>
        <w:t xml:space="preserve"> signature, a confidentiality statement certifying their understanding of the security requirements. </w:t>
      </w:r>
    </w:p>
    <w:p w14:paraId="627DC53C" w14:textId="77777777" w:rsidR="00E76B14" w:rsidRDefault="00E76B14" w:rsidP="00E76B14"/>
    <w:p w14:paraId="0E047561" w14:textId="77777777" w:rsidR="00E76B14" w:rsidRDefault="00E76B14" w:rsidP="00E76B14">
      <w:r>
        <w:t>c.</w:t>
      </w:r>
      <w:r>
        <w:tab/>
        <w:t>INSPECTION</w:t>
      </w:r>
    </w:p>
    <w:p w14:paraId="5C17B0E6" w14:textId="77777777" w:rsidR="00E76B14" w:rsidRDefault="00E76B14" w:rsidP="00E76B14"/>
    <w:p w14:paraId="13EA5D45" w14:textId="77777777" w:rsidR="00E76B14" w:rsidRDefault="00E76B14" w:rsidP="00E76B14">
      <w:r>
        <w:tab/>
        <w:t xml:space="preserve">The IRS and the Agency, with 24-hour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t>On the basis of</w:t>
      </w:r>
      <w:proofErr w:type="gramEnd"/>
      <w:r>
        <w:t xml:space="preserve"> such inspection, corrective actions may be required in cases where the contractor is found to be noncompliant with contract safeguards.</w:t>
      </w:r>
    </w:p>
    <w:p w14:paraId="2108E142" w14:textId="77777777" w:rsidR="00E76B14" w:rsidRDefault="00E76B14" w:rsidP="00E76B14"/>
    <w:p w14:paraId="6CB65580" w14:textId="77777777" w:rsidR="00E76B14" w:rsidRDefault="00E76B14" w:rsidP="00E76B14"/>
    <w:p w14:paraId="29FAF601" w14:textId="77777777" w:rsidR="00E76B14" w:rsidRDefault="00E76B14" w:rsidP="00E76B14"/>
    <w:p w14:paraId="1BBC4A6C" w14:textId="77777777" w:rsidR="00E76B14" w:rsidRDefault="00E76B14" w:rsidP="00E76B14"/>
    <w:p w14:paraId="1E05E982" w14:textId="217FE4B5" w:rsidR="00E76B14" w:rsidRDefault="00E76B14" w:rsidP="00E76B14">
      <w:r>
        <w:t>Remainder of page intentionally left blank.</w:t>
      </w:r>
    </w:p>
    <w:p w14:paraId="6C9068F4" w14:textId="77777777" w:rsidR="00E76B14" w:rsidRDefault="00E76B14">
      <w:pPr>
        <w:sectPr w:rsidR="00E76B14" w:rsidSect="00057B90">
          <w:footerReference w:type="even" r:id="rId29"/>
          <w:footerReference w:type="default" r:id="rId30"/>
          <w:type w:val="continuous"/>
          <w:pgSz w:w="12240" w:h="15840" w:code="1"/>
          <w:pgMar w:top="1440" w:right="1440" w:bottom="1080" w:left="1440" w:header="144" w:footer="432" w:gutter="0"/>
          <w:cols w:space="720"/>
          <w:noEndnote/>
          <w:docGrid w:linePitch="326"/>
        </w:sectPr>
      </w:pPr>
    </w:p>
    <w:p w14:paraId="6361AC2B" w14:textId="0E1D8D19" w:rsidR="000561F5" w:rsidRDefault="000561F5">
      <w:pPr>
        <w:rPr>
          <w:sz w:val="18"/>
        </w:rPr>
      </w:pPr>
    </w:p>
    <w:p w14:paraId="3516EA87" w14:textId="77777777" w:rsidR="00D220BD" w:rsidRPr="003C53BA" w:rsidRDefault="00D220BD" w:rsidP="00287EC1">
      <w:pPr>
        <w:rPr>
          <w:sz w:val="18"/>
        </w:rPr>
      </w:pPr>
    </w:p>
    <w:p w14:paraId="4B300F04" w14:textId="77777777" w:rsidR="005B0704" w:rsidRPr="003C53BA" w:rsidRDefault="005B0704" w:rsidP="00287EC1">
      <w:pPr>
        <w:rPr>
          <w:sz w:val="18"/>
        </w:rPr>
      </w:pPr>
    </w:p>
    <w:p w14:paraId="0DBCDB5B" w14:textId="77777777" w:rsidR="005B0704" w:rsidRPr="003C53BA" w:rsidRDefault="005B0704" w:rsidP="00287EC1">
      <w:pPr>
        <w:rPr>
          <w:sz w:val="18"/>
        </w:rPr>
      </w:pPr>
    </w:p>
    <w:p w14:paraId="2137EFCD" w14:textId="77777777" w:rsidR="005B0704" w:rsidRPr="003C53BA" w:rsidRDefault="005B0704" w:rsidP="00287EC1">
      <w:pPr>
        <w:rPr>
          <w:sz w:val="18"/>
        </w:rPr>
      </w:pPr>
    </w:p>
    <w:p w14:paraId="79F758B8" w14:textId="77777777" w:rsidR="005B0704" w:rsidRPr="003C53BA" w:rsidRDefault="005B0704" w:rsidP="00287EC1">
      <w:pPr>
        <w:rPr>
          <w:sz w:val="18"/>
        </w:rPr>
      </w:pPr>
    </w:p>
    <w:p w14:paraId="21139577" w14:textId="77777777" w:rsidR="005B0704" w:rsidRPr="003C53BA" w:rsidRDefault="005B0704" w:rsidP="00287EC1">
      <w:pPr>
        <w:rPr>
          <w:sz w:val="18"/>
        </w:rPr>
      </w:pPr>
    </w:p>
    <w:p w14:paraId="0759AB35" w14:textId="77777777" w:rsidR="005B0704" w:rsidRPr="003C53BA" w:rsidRDefault="005B0704" w:rsidP="00287EC1">
      <w:pPr>
        <w:rPr>
          <w:sz w:val="18"/>
        </w:rPr>
      </w:pPr>
    </w:p>
    <w:p w14:paraId="1609D3D8" w14:textId="77777777" w:rsidR="005B0704" w:rsidRPr="003C53BA" w:rsidRDefault="005B0704" w:rsidP="00287EC1">
      <w:pPr>
        <w:rPr>
          <w:sz w:val="18"/>
        </w:rPr>
      </w:pPr>
    </w:p>
    <w:p w14:paraId="1210B2CE" w14:textId="77777777" w:rsidR="005B0704" w:rsidRPr="003C53BA" w:rsidRDefault="005B0704" w:rsidP="00287EC1">
      <w:pPr>
        <w:rPr>
          <w:sz w:val="18"/>
        </w:rPr>
      </w:pPr>
    </w:p>
    <w:p w14:paraId="25A83831" w14:textId="77777777" w:rsidR="005B0704" w:rsidRPr="003C53BA" w:rsidRDefault="005B0704" w:rsidP="00287EC1">
      <w:pPr>
        <w:rPr>
          <w:sz w:val="18"/>
        </w:rPr>
      </w:pPr>
    </w:p>
    <w:p w14:paraId="418081D9" w14:textId="77777777" w:rsidR="005B0704" w:rsidRPr="003C53BA" w:rsidRDefault="005B0704" w:rsidP="00287EC1">
      <w:pPr>
        <w:rPr>
          <w:sz w:val="18"/>
        </w:rPr>
      </w:pPr>
    </w:p>
    <w:p w14:paraId="7A0237B2" w14:textId="77777777" w:rsidR="005B0704" w:rsidRDefault="005B0704" w:rsidP="00287EC1">
      <w:pPr>
        <w:rPr>
          <w:sz w:val="18"/>
        </w:rPr>
      </w:pPr>
    </w:p>
    <w:p w14:paraId="421FAE03" w14:textId="77777777" w:rsidR="005B0704" w:rsidRDefault="005B0704" w:rsidP="00287EC1">
      <w:pPr>
        <w:rPr>
          <w:sz w:val="18"/>
        </w:rPr>
      </w:pPr>
    </w:p>
    <w:p w14:paraId="546376CA" w14:textId="77777777" w:rsidR="005B0704" w:rsidRDefault="005B0704" w:rsidP="00287EC1">
      <w:pPr>
        <w:rPr>
          <w:sz w:val="18"/>
        </w:rPr>
      </w:pPr>
    </w:p>
    <w:p w14:paraId="06D10B16" w14:textId="77777777" w:rsidR="005B0704" w:rsidRDefault="005B0704" w:rsidP="00287EC1">
      <w:pPr>
        <w:rPr>
          <w:sz w:val="18"/>
        </w:rPr>
      </w:pPr>
    </w:p>
    <w:p w14:paraId="1CA30D75" w14:textId="77777777" w:rsidR="005B0704" w:rsidRDefault="005B0704" w:rsidP="00287EC1">
      <w:pPr>
        <w:rPr>
          <w:sz w:val="18"/>
        </w:rPr>
      </w:pPr>
    </w:p>
    <w:p w14:paraId="3647F967" w14:textId="77777777" w:rsidR="005B0704" w:rsidRDefault="005B0704" w:rsidP="00287EC1">
      <w:pPr>
        <w:rPr>
          <w:sz w:val="18"/>
        </w:rPr>
      </w:pPr>
    </w:p>
    <w:p w14:paraId="0237AB3B" w14:textId="77777777" w:rsidR="005B0704" w:rsidRDefault="005B0704" w:rsidP="00287EC1">
      <w:pPr>
        <w:rPr>
          <w:sz w:val="18"/>
        </w:rPr>
      </w:pPr>
    </w:p>
    <w:p w14:paraId="2CB09C80" w14:textId="77777777" w:rsidR="005B0704" w:rsidRDefault="005B0704" w:rsidP="00287EC1">
      <w:pPr>
        <w:rPr>
          <w:sz w:val="18"/>
        </w:rPr>
      </w:pPr>
    </w:p>
    <w:p w14:paraId="0E709879" w14:textId="77777777" w:rsidR="005B0704" w:rsidRDefault="005B0704" w:rsidP="00287EC1">
      <w:pPr>
        <w:rPr>
          <w:sz w:val="18"/>
        </w:rPr>
      </w:pPr>
    </w:p>
    <w:p w14:paraId="10960665" w14:textId="77777777" w:rsidR="005B0704" w:rsidRPr="005B0704" w:rsidRDefault="005B0704" w:rsidP="005B0704">
      <w:pPr>
        <w:jc w:val="center"/>
        <w:rPr>
          <w:b/>
          <w:sz w:val="32"/>
        </w:rPr>
      </w:pPr>
      <w:r w:rsidRPr="005B0704">
        <w:rPr>
          <w:b/>
          <w:sz w:val="32"/>
        </w:rPr>
        <w:t>THIS PAGE INTENTIONALLY LEFT BLANK</w:t>
      </w:r>
    </w:p>
    <w:p w14:paraId="667FF927" w14:textId="77777777" w:rsidR="005B0704" w:rsidRPr="005B0704" w:rsidRDefault="005B0704" w:rsidP="005B0704">
      <w:pPr>
        <w:jc w:val="center"/>
        <w:rPr>
          <w:b/>
          <w:sz w:val="32"/>
        </w:rPr>
      </w:pPr>
      <w:r w:rsidRPr="005B0704">
        <w:rPr>
          <w:b/>
          <w:sz w:val="32"/>
        </w:rPr>
        <w:t>END OF RFP</w:t>
      </w:r>
    </w:p>
    <w:sectPr w:rsidR="005B0704" w:rsidRPr="005B0704" w:rsidSect="00574DA3">
      <w:pgSz w:w="12240" w:h="15840" w:code="1"/>
      <w:pgMar w:top="1440" w:right="1440" w:bottom="1080" w:left="1440" w:header="14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E824E" w14:textId="77777777" w:rsidR="00E609C6" w:rsidRDefault="00E609C6">
      <w:r>
        <w:separator/>
      </w:r>
    </w:p>
  </w:endnote>
  <w:endnote w:type="continuationSeparator" w:id="0">
    <w:p w14:paraId="58056CD4" w14:textId="77777777" w:rsidR="00E609C6" w:rsidRDefault="00E6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B631" w14:textId="77777777" w:rsidR="00E609C6" w:rsidRDefault="00E609C6"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85795" w14:textId="77777777" w:rsidR="00E609C6" w:rsidRDefault="00E609C6">
    <w:pPr>
      <w:pStyle w:val="Footer"/>
    </w:pPr>
  </w:p>
  <w:p w14:paraId="0F14CA8B" w14:textId="77777777" w:rsidR="00E609C6" w:rsidRDefault="00E609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1F4C" w14:textId="58B9D7C4" w:rsidR="00E609C6" w:rsidRPr="00081C9A" w:rsidRDefault="00E609C6" w:rsidP="00081C9A">
    <w:pPr>
      <w:pStyle w:val="Footer"/>
      <w:tabs>
        <w:tab w:val="clear" w:pos="8640"/>
        <w:tab w:val="right" w:pos="9360"/>
      </w:tabs>
      <w:rPr>
        <w:sz w:val="16"/>
        <w:szCs w:val="16"/>
      </w:rPr>
    </w:pPr>
    <w:r w:rsidRPr="00081C9A">
      <w:rPr>
        <w:sz w:val="16"/>
        <w:szCs w:val="16"/>
      </w:rPr>
      <w:t xml:space="preserve">State of </w:t>
    </w:r>
    <w:r>
      <w:rPr>
        <w:sz w:val="16"/>
        <w:szCs w:val="16"/>
      </w:rPr>
      <w:t>De</w:t>
    </w:r>
    <w:r w:rsidRPr="00081C9A">
      <w:rPr>
        <w:sz w:val="16"/>
        <w:szCs w:val="16"/>
      </w:rPr>
      <w:t>laware</w:t>
    </w:r>
    <w:r w:rsidRPr="00081C9A">
      <w:rPr>
        <w:sz w:val="16"/>
        <w:szCs w:val="16"/>
      </w:rPr>
      <w:tab/>
    </w:r>
    <w:r w:rsidRPr="00081C9A">
      <w:rPr>
        <w:sz w:val="16"/>
        <w:szCs w:val="16"/>
      </w:rPr>
      <w:fldChar w:fldCharType="begin"/>
    </w:r>
    <w:r w:rsidRPr="00081C9A">
      <w:rPr>
        <w:sz w:val="16"/>
        <w:szCs w:val="16"/>
      </w:rPr>
      <w:instrText xml:space="preserve"> PAGE   \* MERGEFORMAT </w:instrText>
    </w:r>
    <w:r w:rsidRPr="00081C9A">
      <w:rPr>
        <w:sz w:val="16"/>
        <w:szCs w:val="16"/>
      </w:rPr>
      <w:fldChar w:fldCharType="separate"/>
    </w:r>
    <w:r w:rsidR="00A27D5B">
      <w:rPr>
        <w:noProof/>
        <w:sz w:val="16"/>
        <w:szCs w:val="16"/>
      </w:rPr>
      <w:t>15</w:t>
    </w:r>
    <w:r w:rsidRPr="00081C9A">
      <w:rPr>
        <w:noProof/>
        <w:sz w:val="16"/>
        <w:szCs w:val="16"/>
      </w:rPr>
      <w:fldChar w:fldCharType="end"/>
    </w:r>
    <w:r w:rsidRPr="00081C9A">
      <w:rPr>
        <w:sz w:val="16"/>
        <w:szCs w:val="16"/>
      </w:rPr>
      <w:tab/>
      <w:t xml:space="preserve"> </w:t>
    </w:r>
  </w:p>
  <w:p w14:paraId="68417CB3" w14:textId="77777777" w:rsidR="00E609C6" w:rsidRPr="00081C9A" w:rsidRDefault="00E609C6">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9FA3" w14:textId="77777777" w:rsidR="00E609C6" w:rsidRDefault="00E609C6"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FEBB6" w14:textId="77777777" w:rsidR="00E609C6" w:rsidRDefault="00E609C6">
    <w:pPr>
      <w:pStyle w:val="Footer"/>
    </w:pPr>
  </w:p>
  <w:p w14:paraId="5CF26122" w14:textId="77777777" w:rsidR="00E609C6" w:rsidRDefault="00E609C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7BC0" w14:textId="426CD5FA" w:rsidR="00E609C6" w:rsidRPr="00081C9A" w:rsidRDefault="00E609C6" w:rsidP="00081C9A">
    <w:pPr>
      <w:pStyle w:val="Footer"/>
      <w:tabs>
        <w:tab w:val="clear" w:pos="8640"/>
        <w:tab w:val="right" w:pos="9360"/>
      </w:tabs>
      <w:rPr>
        <w:sz w:val="16"/>
        <w:szCs w:val="16"/>
      </w:rPr>
    </w:pPr>
    <w:r w:rsidRPr="00081C9A">
      <w:rPr>
        <w:sz w:val="16"/>
        <w:szCs w:val="16"/>
      </w:rPr>
      <w:t xml:space="preserve">State of </w:t>
    </w:r>
    <w:r>
      <w:rPr>
        <w:sz w:val="16"/>
        <w:szCs w:val="16"/>
      </w:rPr>
      <w:t>De</w:t>
    </w:r>
    <w:r w:rsidRPr="00081C9A">
      <w:rPr>
        <w:sz w:val="16"/>
        <w:szCs w:val="16"/>
      </w:rPr>
      <w:t>laware</w:t>
    </w:r>
    <w:r w:rsidRPr="00081C9A">
      <w:rPr>
        <w:sz w:val="16"/>
        <w:szCs w:val="16"/>
      </w:rPr>
      <w:tab/>
    </w:r>
    <w:r w:rsidRPr="00081C9A">
      <w:rPr>
        <w:sz w:val="16"/>
        <w:szCs w:val="16"/>
      </w:rPr>
      <w:fldChar w:fldCharType="begin"/>
    </w:r>
    <w:r w:rsidRPr="00081C9A">
      <w:rPr>
        <w:sz w:val="16"/>
        <w:szCs w:val="16"/>
      </w:rPr>
      <w:instrText xml:space="preserve"> PAGE   \* MERGEFORMAT </w:instrText>
    </w:r>
    <w:r w:rsidRPr="00081C9A">
      <w:rPr>
        <w:sz w:val="16"/>
        <w:szCs w:val="16"/>
      </w:rPr>
      <w:fldChar w:fldCharType="separate"/>
    </w:r>
    <w:r w:rsidR="00A27D5B">
      <w:rPr>
        <w:noProof/>
        <w:sz w:val="16"/>
        <w:szCs w:val="16"/>
      </w:rPr>
      <w:t>54</w:t>
    </w:r>
    <w:r w:rsidRPr="00081C9A">
      <w:rPr>
        <w:noProof/>
        <w:sz w:val="16"/>
        <w:szCs w:val="16"/>
      </w:rPr>
      <w:fldChar w:fldCharType="end"/>
    </w:r>
    <w:r w:rsidRPr="00081C9A">
      <w:rPr>
        <w:sz w:val="16"/>
        <w:szCs w:val="16"/>
      </w:rPr>
      <w:tab/>
      <w:t xml:space="preserve"> </w:t>
    </w:r>
  </w:p>
  <w:p w14:paraId="19636DB0" w14:textId="77777777" w:rsidR="00E609C6" w:rsidRPr="00081C9A" w:rsidRDefault="00E609C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978B9" w14:textId="77777777" w:rsidR="00E609C6" w:rsidRDefault="00E609C6">
      <w:r>
        <w:separator/>
      </w:r>
    </w:p>
  </w:footnote>
  <w:footnote w:type="continuationSeparator" w:id="0">
    <w:p w14:paraId="63A8F48D" w14:textId="77777777" w:rsidR="00E609C6" w:rsidRDefault="00E609C6">
      <w:r>
        <w:continuationSeparator/>
      </w:r>
    </w:p>
  </w:footnote>
  <w:footnote w:id="1">
    <w:p w14:paraId="1DAEC0B3" w14:textId="77777777" w:rsidR="00E609C6" w:rsidRPr="002E2C7F" w:rsidRDefault="00E609C6">
      <w:pPr>
        <w:pStyle w:val="FootnoteText"/>
        <w:rPr>
          <w:sz w:val="16"/>
          <w:szCs w:val="16"/>
        </w:rPr>
      </w:pPr>
      <w:r w:rsidRPr="002E2C7F">
        <w:rPr>
          <w:rStyle w:val="FootnoteReference"/>
          <w:sz w:val="16"/>
          <w:szCs w:val="16"/>
        </w:rPr>
        <w:footnoteRef/>
      </w:r>
      <w:r w:rsidRPr="002E2C7F">
        <w:rPr>
          <w:sz w:val="16"/>
          <w:szCs w:val="16"/>
        </w:rPr>
        <w:t xml:space="preserve"> The final report is available at:</w:t>
      </w:r>
    </w:p>
    <w:p w14:paraId="54235B2F" w14:textId="77777777" w:rsidR="00E609C6" w:rsidRDefault="00E609C6" w:rsidP="00100A14">
      <w:pPr>
        <w:pStyle w:val="FootnoteText"/>
        <w:jc w:val="both"/>
      </w:pPr>
      <w:r w:rsidRPr="002E2C7F">
        <w:rPr>
          <w:sz w:val="16"/>
          <w:szCs w:val="16"/>
        </w:rPr>
        <w:t xml:space="preserve">   https://treasurer.delaware.gov/wp-content/uploads/sites/55/2018/06/Banking-Structure-Review-2017_10_24.pdf.</w:t>
      </w:r>
    </w:p>
  </w:footnote>
  <w:footnote w:id="2">
    <w:p w14:paraId="6B6DF0D7" w14:textId="77777777" w:rsidR="00E609C6" w:rsidRPr="00DF1CD5" w:rsidRDefault="00E609C6" w:rsidP="009B53F8">
      <w:pPr>
        <w:overflowPunct w:val="0"/>
        <w:autoSpaceDE w:val="0"/>
        <w:autoSpaceDN w:val="0"/>
        <w:adjustRightInd w:val="0"/>
        <w:jc w:val="both"/>
        <w:textAlignment w:val="baseline"/>
        <w:rPr>
          <w:sz w:val="16"/>
          <w:szCs w:val="16"/>
        </w:rPr>
      </w:pPr>
      <w:r w:rsidRPr="00DF1CD5">
        <w:rPr>
          <w:rStyle w:val="FootnoteReference"/>
          <w:sz w:val="16"/>
          <w:szCs w:val="16"/>
        </w:rPr>
        <w:footnoteRef/>
      </w:r>
      <w:r w:rsidRPr="00DF1CD5">
        <w:rPr>
          <w:sz w:val="16"/>
          <w:szCs w:val="16"/>
        </w:rPr>
        <w:t xml:space="preserve"> “Bona fide legal resident” shall mean any resident who has established residence of at least 90 days in the State.</w:t>
      </w:r>
    </w:p>
    <w:p w14:paraId="73BD4EFB" w14:textId="77777777" w:rsidR="00E609C6" w:rsidRDefault="00E609C6" w:rsidP="004B0819">
      <w:pPr>
        <w:pStyle w:val="FootnoteText"/>
      </w:pPr>
    </w:p>
  </w:footnote>
  <w:footnote w:id="3">
    <w:p w14:paraId="408BDC29" w14:textId="77777777" w:rsidR="00E609C6" w:rsidRPr="00320308" w:rsidRDefault="00E609C6">
      <w:pPr>
        <w:pStyle w:val="FootnoteText"/>
        <w:rPr>
          <w:sz w:val="16"/>
          <w:szCs w:val="16"/>
        </w:rPr>
      </w:pPr>
      <w:r w:rsidRPr="00320308">
        <w:rPr>
          <w:rStyle w:val="FootnoteReference"/>
          <w:sz w:val="16"/>
          <w:szCs w:val="16"/>
        </w:rPr>
        <w:footnoteRef/>
      </w:r>
      <w:r w:rsidRPr="00320308">
        <w:rPr>
          <w:sz w:val="16"/>
          <w:szCs w:val="16"/>
        </w:rPr>
        <w:t xml:space="preserve"> Capitalized terms used but not defined herein shall have the meanings ascribed to such terms in the RFP.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EEE"/>
    <w:multiLevelType w:val="hybridMultilevel"/>
    <w:tmpl w:val="ED161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B41F9"/>
    <w:multiLevelType w:val="hybridMultilevel"/>
    <w:tmpl w:val="1F322CC2"/>
    <w:lvl w:ilvl="0" w:tplc="1A0225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0373"/>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0D2776"/>
    <w:multiLevelType w:val="hybridMultilevel"/>
    <w:tmpl w:val="82BCD550"/>
    <w:lvl w:ilvl="0" w:tplc="E12E67F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653BCF"/>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F55D24"/>
    <w:multiLevelType w:val="hybridMultilevel"/>
    <w:tmpl w:val="0D50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41C2E"/>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F3EA7"/>
    <w:multiLevelType w:val="hybridMultilevel"/>
    <w:tmpl w:val="A1E0AE4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B9206F8"/>
    <w:multiLevelType w:val="hybridMultilevel"/>
    <w:tmpl w:val="64F216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C3571"/>
    <w:multiLevelType w:val="hybridMultilevel"/>
    <w:tmpl w:val="D8B8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C6D6C"/>
    <w:multiLevelType w:val="hybridMultilevel"/>
    <w:tmpl w:val="DCE02E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E104E6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87031C"/>
    <w:multiLevelType w:val="hybridMultilevel"/>
    <w:tmpl w:val="061E0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214FBC"/>
    <w:multiLevelType w:val="hybridMultilevel"/>
    <w:tmpl w:val="32E8678A"/>
    <w:lvl w:ilvl="0" w:tplc="AEC2E2EE">
      <w:start w:val="1"/>
      <w:numFmt w:val="decimal"/>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7A2418"/>
    <w:multiLevelType w:val="hybridMultilevel"/>
    <w:tmpl w:val="BBB00704"/>
    <w:lvl w:ilvl="0" w:tplc="04090001">
      <w:start w:val="1"/>
      <w:numFmt w:val="bullet"/>
      <w:lvlText w:val=""/>
      <w:lvlJc w:val="left"/>
      <w:pPr>
        <w:ind w:left="720" w:hanging="360"/>
      </w:pPr>
      <w:rPr>
        <w:rFonts w:ascii="Symbol" w:hAnsi="Symbol"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05A7C"/>
    <w:multiLevelType w:val="hybridMultilevel"/>
    <w:tmpl w:val="FAB477C2"/>
    <w:lvl w:ilvl="0" w:tplc="366EA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2916ED8"/>
    <w:multiLevelType w:val="hybridMultilevel"/>
    <w:tmpl w:val="38B03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F21184"/>
    <w:multiLevelType w:val="hybridMultilevel"/>
    <w:tmpl w:val="9522DED0"/>
    <w:lvl w:ilvl="0" w:tplc="B4025DC4">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3A95C3B"/>
    <w:multiLevelType w:val="hybridMultilevel"/>
    <w:tmpl w:val="3EE65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4721B26"/>
    <w:multiLevelType w:val="hybridMultilevel"/>
    <w:tmpl w:val="54804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CE6944"/>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BB6C9C"/>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B021EA"/>
    <w:multiLevelType w:val="hybridMultilevel"/>
    <w:tmpl w:val="DCE02E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E104E6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17E01919"/>
    <w:multiLevelType w:val="hybridMultilevel"/>
    <w:tmpl w:val="08341A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8FA5190"/>
    <w:multiLevelType w:val="multilevel"/>
    <w:tmpl w:val="85A0C2FC"/>
    <w:lvl w:ilvl="0">
      <w:start w:val="1"/>
      <w:numFmt w:val="upperRoman"/>
      <w:lvlText w:val="%1."/>
      <w:lvlJc w:val="left"/>
      <w:pPr>
        <w:tabs>
          <w:tab w:val="num" w:pos="360"/>
        </w:tabs>
        <w:ind w:left="0" w:firstLine="0"/>
      </w:pPr>
      <w:rPr>
        <w:rFonts w:hint="default"/>
      </w:rPr>
    </w:lvl>
    <w:lvl w:ilvl="1">
      <w:start w:val="1"/>
      <w:numFmt w:val="upperLetter"/>
      <w:pStyle w:val="Heading2"/>
      <w:lvlText w:val="%2."/>
      <w:lvlJc w:val="left"/>
      <w:pPr>
        <w:tabs>
          <w:tab w:val="num" w:pos="2880"/>
        </w:tabs>
        <w:ind w:left="2520" w:firstLine="0"/>
      </w:pPr>
      <w:rPr>
        <w:rFonts w:hint="default"/>
        <w:sz w:val="20"/>
        <w:szCs w:val="20"/>
      </w:rPr>
    </w:lvl>
    <w:lvl w:ilvl="2">
      <w:start w:val="1"/>
      <w:numFmt w:val="decimal"/>
      <w:pStyle w:val="Heading3"/>
      <w:lvlText w:val="%3."/>
      <w:lvlJc w:val="left"/>
      <w:pPr>
        <w:tabs>
          <w:tab w:val="num" w:pos="1800"/>
        </w:tabs>
        <w:ind w:left="1440" w:firstLine="0"/>
      </w:pPr>
      <w:rPr>
        <w:rFonts w:hint="default"/>
        <w:b w:val="0"/>
      </w:rPr>
    </w:lvl>
    <w:lvl w:ilvl="3">
      <w:start w:val="1"/>
      <w:numFmt w:val="upperLetter"/>
      <w:lvlText w:val="%4."/>
      <w:lvlJc w:val="left"/>
      <w:pPr>
        <w:tabs>
          <w:tab w:val="num" w:pos="2880"/>
        </w:tabs>
        <w:ind w:left="2520" w:firstLine="0"/>
      </w:pPr>
      <w:rPr>
        <w:rFonts w:hint="default"/>
        <w:b/>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5" w15:restartNumberingAfterBreak="0">
    <w:nsid w:val="196C02D8"/>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97B4B3C"/>
    <w:multiLevelType w:val="hybridMultilevel"/>
    <w:tmpl w:val="F9827E9C"/>
    <w:lvl w:ilvl="0" w:tplc="91EA4DEA">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BD1DF5"/>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9DE18F2"/>
    <w:multiLevelType w:val="hybridMultilevel"/>
    <w:tmpl w:val="67582C08"/>
    <w:lvl w:ilvl="0" w:tplc="9CC811F8">
      <w:start w:val="1"/>
      <w:numFmt w:val="decimal"/>
      <w:lvlText w:val="%1."/>
      <w:lvlJc w:val="left"/>
      <w:pPr>
        <w:ind w:left="720" w:hanging="360"/>
      </w:pPr>
      <w:rPr>
        <w:rFonts w:hint="default"/>
        <w:b w:val="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E517E8"/>
    <w:multiLevelType w:val="hybridMultilevel"/>
    <w:tmpl w:val="1848EFAC"/>
    <w:lvl w:ilvl="0" w:tplc="04090017">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3F0979"/>
    <w:multiLevelType w:val="hybridMultilevel"/>
    <w:tmpl w:val="105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A03134"/>
    <w:multiLevelType w:val="hybridMultilevel"/>
    <w:tmpl w:val="AC2EC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B536AE4"/>
    <w:multiLevelType w:val="hybridMultilevel"/>
    <w:tmpl w:val="A4DE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677EA3"/>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B8021D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D323374"/>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0B73C16"/>
    <w:multiLevelType w:val="hybridMultilevel"/>
    <w:tmpl w:val="4A8C4730"/>
    <w:lvl w:ilvl="0" w:tplc="9CA4A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3B1CBB"/>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38" w15:restartNumberingAfterBreak="0">
    <w:nsid w:val="21946568"/>
    <w:multiLevelType w:val="hybridMultilevel"/>
    <w:tmpl w:val="BB4CF9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1DD4DA8"/>
    <w:multiLevelType w:val="hybridMultilevel"/>
    <w:tmpl w:val="860E5898"/>
    <w:lvl w:ilvl="0" w:tplc="0409000F">
      <w:start w:val="1"/>
      <w:numFmt w:val="decimal"/>
      <w:lvlText w:val="%1."/>
      <w:lvlJc w:val="left"/>
      <w:pPr>
        <w:ind w:left="720" w:hanging="360"/>
      </w:pPr>
      <w:rPr>
        <w:rFonts w:hint="default"/>
      </w:rPr>
    </w:lvl>
    <w:lvl w:ilvl="1" w:tplc="34121DA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0650E4"/>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777AEC"/>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5D92BCC"/>
    <w:multiLevelType w:val="hybridMultilevel"/>
    <w:tmpl w:val="DBB66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0828F8"/>
    <w:multiLevelType w:val="hybridMultilevel"/>
    <w:tmpl w:val="D652C846"/>
    <w:lvl w:ilvl="0" w:tplc="3FA8A4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17583"/>
    <w:multiLevelType w:val="hybridMultilevel"/>
    <w:tmpl w:val="78FCF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ABE6BE4"/>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4C4DED"/>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0A3D1F"/>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CD75F0A"/>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CE4522A"/>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D317E4B"/>
    <w:multiLevelType w:val="hybridMultilevel"/>
    <w:tmpl w:val="9A5AF9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DB6501D"/>
    <w:multiLevelType w:val="hybridMultilevel"/>
    <w:tmpl w:val="9CCE174A"/>
    <w:lvl w:ilvl="0" w:tplc="BB729A50">
      <w:start w:val="1"/>
      <w:numFmt w:val="lowerLetter"/>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DD15D01"/>
    <w:multiLevelType w:val="hybridMultilevel"/>
    <w:tmpl w:val="6694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EBB7F6F"/>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FDD7D97"/>
    <w:multiLevelType w:val="hybridMultilevel"/>
    <w:tmpl w:val="87901368"/>
    <w:lvl w:ilvl="0" w:tplc="14A8B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0B12AC8"/>
    <w:multiLevelType w:val="hybridMultilevel"/>
    <w:tmpl w:val="9CCE174A"/>
    <w:lvl w:ilvl="0" w:tplc="BB729A50">
      <w:start w:val="1"/>
      <w:numFmt w:val="lowerLetter"/>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1194494"/>
    <w:multiLevelType w:val="hybridMultilevel"/>
    <w:tmpl w:val="9F3673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31A006E0"/>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2470664"/>
    <w:multiLevelType w:val="hybridMultilevel"/>
    <w:tmpl w:val="3EE65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33667CB"/>
    <w:multiLevelType w:val="hybridMultilevel"/>
    <w:tmpl w:val="9CCE174A"/>
    <w:lvl w:ilvl="0" w:tplc="BB729A50">
      <w:start w:val="1"/>
      <w:numFmt w:val="lowerLetter"/>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3AC15FF"/>
    <w:multiLevelType w:val="hybridMultilevel"/>
    <w:tmpl w:val="1F38EB1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3E93D76"/>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F03320"/>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E15B2F"/>
    <w:multiLevelType w:val="hybridMultilevel"/>
    <w:tmpl w:val="59D48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883311"/>
    <w:multiLevelType w:val="hybridMultilevel"/>
    <w:tmpl w:val="9A4015C2"/>
    <w:lvl w:ilvl="0" w:tplc="DCB81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AF085B"/>
    <w:multiLevelType w:val="hybridMultilevel"/>
    <w:tmpl w:val="8B222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6C8485F"/>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8AC5026"/>
    <w:multiLevelType w:val="hybridMultilevel"/>
    <w:tmpl w:val="464AFC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93720D5"/>
    <w:multiLevelType w:val="hybridMultilevel"/>
    <w:tmpl w:val="D408B5F8"/>
    <w:lvl w:ilvl="0" w:tplc="A2286FC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39B76384"/>
    <w:multiLevelType w:val="hybridMultilevel"/>
    <w:tmpl w:val="182A7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0461C6"/>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72" w15:restartNumberingAfterBreak="0">
    <w:nsid w:val="3AB203C9"/>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B59729F"/>
    <w:multiLevelType w:val="hybridMultilevel"/>
    <w:tmpl w:val="7D5004C2"/>
    <w:lvl w:ilvl="0" w:tplc="F05A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B9C1333"/>
    <w:multiLevelType w:val="multilevel"/>
    <w:tmpl w:val="A8F8AD2E"/>
    <w:lvl w:ilvl="0">
      <w:start w:val="1"/>
      <w:numFmt w:val="decimal"/>
      <w:pStyle w:val="Style2"/>
      <w:lvlText w:val="%1."/>
      <w:lvlJc w:val="left"/>
      <w:pPr>
        <w:ind w:left="720" w:hanging="360"/>
      </w:pPr>
      <w:rPr>
        <w:rFonts w:hint="default"/>
      </w:rPr>
    </w:lvl>
    <w:lvl w:ilvl="1">
      <w:start w:val="1"/>
      <w:numFmt w:val="decimal"/>
      <w:lvlText w:val="%1.%2."/>
      <w:lvlJc w:val="left"/>
      <w:pPr>
        <w:ind w:left="1134" w:hanging="504"/>
      </w:pPr>
      <w:rPr>
        <w:rFonts w:hint="default"/>
      </w:rPr>
    </w:lvl>
    <w:lvl w:ilvl="2">
      <w:start w:val="1"/>
      <w:numFmt w:val="decimal"/>
      <w:lvlText w:val="%1.%2.%3."/>
      <w:lvlJc w:val="left"/>
      <w:pPr>
        <w:ind w:left="1584" w:hanging="504"/>
      </w:pPr>
      <w:rPr>
        <w:rFonts w:ascii="Arial" w:hAnsi="Arial" w:cs="Arial" w:hint="default"/>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5" w15:restartNumberingAfterBreak="0">
    <w:nsid w:val="3C5B2EA4"/>
    <w:multiLevelType w:val="hybridMultilevel"/>
    <w:tmpl w:val="3B52208C"/>
    <w:lvl w:ilvl="0" w:tplc="219E237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081C73"/>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74214A"/>
    <w:multiLevelType w:val="hybridMultilevel"/>
    <w:tmpl w:val="93E6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758392F"/>
    <w:multiLevelType w:val="hybridMultilevel"/>
    <w:tmpl w:val="7E9A55DA"/>
    <w:lvl w:ilvl="0" w:tplc="E13EBC16">
      <w:start w:val="1"/>
      <w:numFmt w:val="decimal"/>
      <w:lvlText w:val="%1."/>
      <w:lvlJc w:val="left"/>
      <w:pPr>
        <w:ind w:left="1440" w:hanging="360"/>
      </w:pPr>
      <w:rPr>
        <w:rFonts w:ascii="Arial" w:eastAsia="Times New Roman" w:hAnsi="Arial" w:cs="Arial"/>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7861C0C"/>
    <w:multiLevelType w:val="hybridMultilevel"/>
    <w:tmpl w:val="7D5004C2"/>
    <w:lvl w:ilvl="0" w:tplc="F05A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E11B18"/>
    <w:multiLevelType w:val="hybridMultilevel"/>
    <w:tmpl w:val="666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491869D7"/>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82" w15:restartNumberingAfterBreak="0">
    <w:nsid w:val="4B845ED1"/>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03D6875"/>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5512A9"/>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2E6F6E"/>
    <w:multiLevelType w:val="hybridMultilevel"/>
    <w:tmpl w:val="64F216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497E77"/>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5F3FB5"/>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38D0929"/>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00185D"/>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5E45C97"/>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6387841"/>
    <w:multiLevelType w:val="hybridMultilevel"/>
    <w:tmpl w:val="37C039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6540BB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99913F0"/>
    <w:multiLevelType w:val="hybridMultilevel"/>
    <w:tmpl w:val="25CC89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A203CD6"/>
    <w:multiLevelType w:val="hybridMultilevel"/>
    <w:tmpl w:val="D5BAE592"/>
    <w:lvl w:ilvl="0" w:tplc="B2FE4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A401C79"/>
    <w:multiLevelType w:val="hybridMultilevel"/>
    <w:tmpl w:val="196EF85A"/>
    <w:lvl w:ilvl="0" w:tplc="31DAC0B6">
      <w:start w:val="1"/>
      <w:numFmt w:val="upperRoman"/>
      <w:pStyle w:val="Heading1"/>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AA65E2B"/>
    <w:multiLevelType w:val="hybridMultilevel"/>
    <w:tmpl w:val="A7A25E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AF40479"/>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99" w15:restartNumberingAfterBreak="0">
    <w:nsid w:val="5C515E8C"/>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D657C1"/>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7E5901"/>
    <w:multiLevelType w:val="hybridMultilevel"/>
    <w:tmpl w:val="72C8C9DE"/>
    <w:lvl w:ilvl="0" w:tplc="9CA4A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D67056"/>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8E047A"/>
    <w:multiLevelType w:val="hybridMultilevel"/>
    <w:tmpl w:val="9BD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30D9E"/>
    <w:multiLevelType w:val="hybridMultilevel"/>
    <w:tmpl w:val="A4DE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C82698"/>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095EA5"/>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16949F5"/>
    <w:multiLevelType w:val="hybridMultilevel"/>
    <w:tmpl w:val="00F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72226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2367A23"/>
    <w:multiLevelType w:val="hybridMultilevel"/>
    <w:tmpl w:val="8E06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617072"/>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36491E"/>
    <w:multiLevelType w:val="hybridMultilevel"/>
    <w:tmpl w:val="7D5004C2"/>
    <w:lvl w:ilvl="0" w:tplc="F05A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73115D"/>
    <w:multiLevelType w:val="hybridMultilevel"/>
    <w:tmpl w:val="04C2D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56F1E53"/>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86152F"/>
    <w:multiLevelType w:val="hybridMultilevel"/>
    <w:tmpl w:val="BB4CF9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60C16C8"/>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6FC1676"/>
    <w:multiLevelType w:val="hybridMultilevel"/>
    <w:tmpl w:val="1B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84B4B03"/>
    <w:multiLevelType w:val="hybridMultilevel"/>
    <w:tmpl w:val="0D1EA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91B0127"/>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716AAA"/>
    <w:multiLevelType w:val="hybridMultilevel"/>
    <w:tmpl w:val="9418D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D2439C"/>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122" w15:restartNumberingAfterBreak="0">
    <w:nsid w:val="6B834143"/>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D212BD"/>
    <w:multiLevelType w:val="multilevel"/>
    <w:tmpl w:val="A966531E"/>
    <w:lvl w:ilvl="0">
      <w:start w:val="1"/>
      <w:numFmt w:val="decimal"/>
      <w:lvlText w:val="%1."/>
      <w:lvlJc w:val="left"/>
      <w:pPr>
        <w:ind w:left="1440" w:hanging="360"/>
      </w:pPr>
    </w:lvl>
    <w:lvl w:ilvl="1">
      <w:start w:val="1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4" w15:restartNumberingAfterBreak="0">
    <w:nsid w:val="6C763CE9"/>
    <w:multiLevelType w:val="hybridMultilevel"/>
    <w:tmpl w:val="DCE02E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E104E6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CCB6A38"/>
    <w:multiLevelType w:val="hybridMultilevel"/>
    <w:tmpl w:val="87901368"/>
    <w:lvl w:ilvl="0" w:tplc="14A8B8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D0B7CE3"/>
    <w:multiLevelType w:val="hybridMultilevel"/>
    <w:tmpl w:val="B07E8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17487D"/>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D5F3639"/>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E9935E4"/>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FC76F8F"/>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08B5A76"/>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C4C4E"/>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16052F8"/>
    <w:multiLevelType w:val="hybridMultilevel"/>
    <w:tmpl w:val="40C4196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2BC56F1"/>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3205FBA"/>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3960525"/>
    <w:multiLevelType w:val="hybridMultilevel"/>
    <w:tmpl w:val="6450D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432657D"/>
    <w:multiLevelType w:val="hybridMultilevel"/>
    <w:tmpl w:val="67582C08"/>
    <w:lvl w:ilvl="0" w:tplc="9CC811F8">
      <w:start w:val="1"/>
      <w:numFmt w:val="decimal"/>
      <w:lvlText w:val="%1."/>
      <w:lvlJc w:val="left"/>
      <w:pPr>
        <w:ind w:left="720" w:hanging="360"/>
      </w:pPr>
      <w:rPr>
        <w:rFonts w:hint="default"/>
        <w:b w:val="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A45B9A"/>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78064C1D"/>
    <w:multiLevelType w:val="hybridMultilevel"/>
    <w:tmpl w:val="38BE3D1E"/>
    <w:lvl w:ilvl="0" w:tplc="FEB4CD98">
      <w:start w:val="1"/>
      <w:numFmt w:val="decimal"/>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AD46544"/>
    <w:multiLevelType w:val="hybridMultilevel"/>
    <w:tmpl w:val="9522DED0"/>
    <w:lvl w:ilvl="0" w:tplc="B4025DC4">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B1243C9"/>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314756"/>
    <w:multiLevelType w:val="hybridMultilevel"/>
    <w:tmpl w:val="5E30CA30"/>
    <w:lvl w:ilvl="0" w:tplc="1B88790C">
      <w:start w:val="1"/>
      <w:numFmt w:val="decimal"/>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BC512E6"/>
    <w:multiLevelType w:val="hybridMultilevel"/>
    <w:tmpl w:val="7954E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21161B"/>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C4580E"/>
    <w:multiLevelType w:val="hybridMultilevel"/>
    <w:tmpl w:val="C0307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9"/>
  </w:num>
  <w:num w:numId="2">
    <w:abstractNumId w:val="24"/>
  </w:num>
  <w:num w:numId="3">
    <w:abstractNumId w:val="112"/>
  </w:num>
  <w:num w:numId="4">
    <w:abstractNumId w:val="83"/>
  </w:num>
  <w:num w:numId="5">
    <w:abstractNumId w:val="67"/>
  </w:num>
  <w:num w:numId="6">
    <w:abstractNumId w:val="56"/>
  </w:num>
  <w:num w:numId="7">
    <w:abstractNumId w:val="74"/>
  </w:num>
  <w:num w:numId="8">
    <w:abstractNumId w:val="4"/>
  </w:num>
  <w:num w:numId="9">
    <w:abstractNumId w:val="117"/>
  </w:num>
  <w:num w:numId="10">
    <w:abstractNumId w:val="69"/>
  </w:num>
  <w:num w:numId="11">
    <w:abstractNumId w:val="96"/>
  </w:num>
  <w:num w:numId="12">
    <w:abstractNumId w:val="103"/>
  </w:num>
  <w:num w:numId="13">
    <w:abstractNumId w:val="145"/>
  </w:num>
  <w:num w:numId="14">
    <w:abstractNumId w:val="8"/>
  </w:num>
  <w:num w:numId="15">
    <w:abstractNumId w:val="45"/>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num>
  <w:num w:numId="18">
    <w:abstractNumId w:val="28"/>
  </w:num>
  <w:num w:numId="19">
    <w:abstractNumId w:val="124"/>
  </w:num>
  <w:num w:numId="20">
    <w:abstractNumId w:val="133"/>
  </w:num>
  <w:num w:numId="21">
    <w:abstractNumId w:val="51"/>
  </w:num>
  <w:num w:numId="22">
    <w:abstractNumId w:val="88"/>
  </w:num>
  <w:num w:numId="23">
    <w:abstractNumId w:val="53"/>
  </w:num>
  <w:num w:numId="24">
    <w:abstractNumId w:val="90"/>
  </w:num>
  <w:num w:numId="25">
    <w:abstractNumId w:val="106"/>
  </w:num>
  <w:num w:numId="26">
    <w:abstractNumId w:val="20"/>
  </w:num>
  <w:num w:numId="27">
    <w:abstractNumId w:val="17"/>
  </w:num>
  <w:num w:numId="28">
    <w:abstractNumId w:val="108"/>
  </w:num>
  <w:num w:numId="29">
    <w:abstractNumId w:val="41"/>
  </w:num>
  <w:num w:numId="30">
    <w:abstractNumId w:val="57"/>
  </w:num>
  <w:num w:numId="31">
    <w:abstractNumId w:val="47"/>
  </w:num>
  <w:num w:numId="32">
    <w:abstractNumId w:val="34"/>
  </w:num>
  <w:num w:numId="33">
    <w:abstractNumId w:val="49"/>
  </w:num>
  <w:num w:numId="34">
    <w:abstractNumId w:val="128"/>
  </w:num>
  <w:num w:numId="35">
    <w:abstractNumId w:val="2"/>
  </w:num>
  <w:num w:numId="36">
    <w:abstractNumId w:val="35"/>
  </w:num>
  <w:num w:numId="37">
    <w:abstractNumId w:val="127"/>
  </w:num>
  <w:num w:numId="38">
    <w:abstractNumId w:val="129"/>
  </w:num>
  <w:num w:numId="39">
    <w:abstractNumId w:val="82"/>
  </w:num>
  <w:num w:numId="40">
    <w:abstractNumId w:val="136"/>
  </w:num>
  <w:num w:numId="41">
    <w:abstractNumId w:val="72"/>
  </w:num>
  <w:num w:numId="42">
    <w:abstractNumId w:val="60"/>
  </w:num>
  <w:num w:numId="43">
    <w:abstractNumId w:val="93"/>
  </w:num>
  <w:num w:numId="44">
    <w:abstractNumId w:val="59"/>
  </w:num>
  <w:num w:numId="45">
    <w:abstractNumId w:val="25"/>
  </w:num>
  <w:num w:numId="46">
    <w:abstractNumId w:val="141"/>
  </w:num>
  <w:num w:numId="47">
    <w:abstractNumId w:val="3"/>
  </w:num>
  <w:num w:numId="48">
    <w:abstractNumId w:val="94"/>
  </w:num>
  <w:num w:numId="49">
    <w:abstractNumId w:val="48"/>
  </w:num>
  <w:num w:numId="50">
    <w:abstractNumId w:val="91"/>
  </w:num>
  <w:num w:numId="51">
    <w:abstractNumId w:val="65"/>
  </w:num>
  <w:num w:numId="52">
    <w:abstractNumId w:val="12"/>
  </w:num>
  <w:num w:numId="53">
    <w:abstractNumId w:val="123"/>
  </w:num>
  <w:num w:numId="54">
    <w:abstractNumId w:val="15"/>
  </w:num>
  <w:num w:numId="55">
    <w:abstractNumId w:val="118"/>
  </w:num>
  <w:num w:numId="56">
    <w:abstractNumId w:val="95"/>
  </w:num>
  <w:num w:numId="57">
    <w:abstractNumId w:val="36"/>
  </w:num>
  <w:num w:numId="58">
    <w:abstractNumId w:val="36"/>
    <w:lvlOverride w:ilvl="0">
      <w:startOverride w:val="1"/>
    </w:lvlOverride>
  </w:num>
  <w:num w:numId="59">
    <w:abstractNumId w:val="31"/>
  </w:num>
  <w:num w:numId="60">
    <w:abstractNumId w:val="6"/>
  </w:num>
  <w:num w:numId="61">
    <w:abstractNumId w:val="71"/>
  </w:num>
  <w:num w:numId="62">
    <w:abstractNumId w:val="111"/>
  </w:num>
  <w:num w:numId="63">
    <w:abstractNumId w:val="125"/>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11"/>
  </w:num>
  <w:num w:numId="67">
    <w:abstractNumId w:val="30"/>
  </w:num>
  <w:num w:numId="68">
    <w:abstractNumId w:val="38"/>
  </w:num>
  <w:num w:numId="69">
    <w:abstractNumId w:val="39"/>
  </w:num>
  <w:num w:numId="70">
    <w:abstractNumId w:val="104"/>
  </w:num>
  <w:num w:numId="71">
    <w:abstractNumId w:val="23"/>
  </w:num>
  <w:num w:numId="72">
    <w:abstractNumId w:val="143"/>
  </w:num>
  <w:num w:numId="73">
    <w:abstractNumId w:val="77"/>
  </w:num>
  <w:num w:numId="74">
    <w:abstractNumId w:val="121"/>
  </w:num>
  <w:num w:numId="75">
    <w:abstractNumId w:val="100"/>
  </w:num>
  <w:num w:numId="76">
    <w:abstractNumId w:val="7"/>
  </w:num>
  <w:num w:numId="77">
    <w:abstractNumId w:val="26"/>
  </w:num>
  <w:num w:numId="78">
    <w:abstractNumId w:val="137"/>
  </w:num>
  <w:num w:numId="79">
    <w:abstractNumId w:val="102"/>
  </w:num>
  <w:num w:numId="80">
    <w:abstractNumId w:val="132"/>
  </w:num>
  <w:num w:numId="81">
    <w:abstractNumId w:val="36"/>
    <w:lvlOverride w:ilvl="0">
      <w:startOverride w:val="1"/>
    </w:lvlOverride>
  </w:num>
  <w:num w:numId="82">
    <w:abstractNumId w:val="119"/>
  </w:num>
  <w:num w:numId="83">
    <w:abstractNumId w:val="113"/>
  </w:num>
  <w:num w:numId="84">
    <w:abstractNumId w:val="126"/>
  </w:num>
  <w:num w:numId="85">
    <w:abstractNumId w:val="135"/>
  </w:num>
  <w:num w:numId="86">
    <w:abstractNumId w:val="5"/>
  </w:num>
  <w:num w:numId="87">
    <w:abstractNumId w:val="87"/>
  </w:num>
  <w:num w:numId="88">
    <w:abstractNumId w:val="62"/>
  </w:num>
  <w:num w:numId="89">
    <w:abstractNumId w:val="142"/>
  </w:num>
  <w:num w:numId="90">
    <w:abstractNumId w:val="138"/>
  </w:num>
  <w:num w:numId="91">
    <w:abstractNumId w:val="78"/>
  </w:num>
  <w:num w:numId="92">
    <w:abstractNumId w:val="36"/>
    <w:lvlOverride w:ilvl="0">
      <w:startOverride w:val="1"/>
    </w:lvlOverride>
  </w:num>
  <w:num w:numId="93">
    <w:abstractNumId w:val="86"/>
  </w:num>
  <w:num w:numId="94">
    <w:abstractNumId w:val="13"/>
  </w:num>
  <w:num w:numId="95">
    <w:abstractNumId w:val="76"/>
  </w:num>
  <w:num w:numId="96">
    <w:abstractNumId w:val="130"/>
  </w:num>
  <w:num w:numId="97">
    <w:abstractNumId w:val="66"/>
  </w:num>
  <w:num w:numId="98">
    <w:abstractNumId w:val="27"/>
  </w:num>
  <w:num w:numId="99">
    <w:abstractNumId w:val="134"/>
  </w:num>
  <w:num w:numId="100">
    <w:abstractNumId w:val="29"/>
  </w:num>
  <w:num w:numId="101">
    <w:abstractNumId w:val="61"/>
  </w:num>
  <w:num w:numId="102">
    <w:abstractNumId w:val="46"/>
  </w:num>
  <w:num w:numId="103">
    <w:abstractNumId w:val="105"/>
  </w:num>
  <w:num w:numId="104">
    <w:abstractNumId w:val="36"/>
    <w:lvlOverride w:ilvl="0">
      <w:startOverride w:val="1"/>
    </w:lvlOverride>
  </w:num>
  <w:num w:numId="105">
    <w:abstractNumId w:val="131"/>
  </w:num>
  <w:num w:numId="106">
    <w:abstractNumId w:val="85"/>
  </w:num>
  <w:num w:numId="107">
    <w:abstractNumId w:val="122"/>
  </w:num>
  <w:num w:numId="108">
    <w:abstractNumId w:val="36"/>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num>
  <w:num w:numId="111">
    <w:abstractNumId w:val="140"/>
  </w:num>
  <w:num w:numId="112">
    <w:abstractNumId w:val="24"/>
  </w:num>
  <w:num w:numId="113">
    <w:abstractNumId w:val="68"/>
  </w:num>
  <w:num w:numId="114">
    <w:abstractNumId w:val="63"/>
  </w:num>
  <w:num w:numId="115">
    <w:abstractNumId w:val="40"/>
  </w:num>
  <w:num w:numId="116">
    <w:abstractNumId w:val="109"/>
  </w:num>
  <w:num w:numId="117">
    <w:abstractNumId w:val="84"/>
  </w:num>
  <w:num w:numId="118">
    <w:abstractNumId w:val="79"/>
  </w:num>
  <w:num w:numId="119">
    <w:abstractNumId w:val="73"/>
  </w:num>
  <w:num w:numId="120">
    <w:abstractNumId w:val="89"/>
  </w:num>
  <w:num w:numId="121">
    <w:abstractNumId w:val="18"/>
  </w:num>
  <w:num w:numId="122">
    <w:abstractNumId w:val="114"/>
  </w:num>
  <w:num w:numId="123">
    <w:abstractNumId w:val="110"/>
  </w:num>
  <w:num w:numId="124">
    <w:abstractNumId w:val="21"/>
  </w:num>
  <w:num w:numId="125">
    <w:abstractNumId w:val="44"/>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num>
  <w:num w:numId="129">
    <w:abstractNumId w:val="70"/>
  </w:num>
  <w:num w:numId="130">
    <w:abstractNumId w:val="144"/>
  </w:num>
  <w:num w:numId="131">
    <w:abstractNumId w:val="120"/>
  </w:num>
  <w:num w:numId="132">
    <w:abstractNumId w:val="146"/>
  </w:num>
  <w:num w:numId="133">
    <w:abstractNumId w:val="9"/>
  </w:num>
  <w:num w:numId="134">
    <w:abstractNumId w:val="97"/>
  </w:num>
  <w:num w:numId="135">
    <w:abstractNumId w:val="116"/>
  </w:num>
  <w:num w:numId="1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num>
  <w:num w:numId="138">
    <w:abstractNumId w:val="115"/>
  </w:num>
  <w:num w:numId="139">
    <w:abstractNumId w:val="58"/>
  </w:num>
  <w:num w:numId="140">
    <w:abstractNumId w:val="36"/>
    <w:lvlOverride w:ilvl="0">
      <w:startOverride w:val="1"/>
    </w:lvlOverride>
  </w:num>
  <w:num w:numId="141">
    <w:abstractNumId w:val="37"/>
  </w:num>
  <w:num w:numId="142">
    <w:abstractNumId w:val="52"/>
  </w:num>
  <w:num w:numId="143">
    <w:abstractNumId w:val="14"/>
  </w:num>
  <w:num w:numId="144">
    <w:abstractNumId w:val="81"/>
  </w:num>
  <w:num w:numId="145">
    <w:abstractNumId w:val="98"/>
  </w:num>
  <w:num w:numId="146">
    <w:abstractNumId w:val="10"/>
  </w:num>
  <w:num w:numId="147">
    <w:abstractNumId w:val="80"/>
  </w:num>
  <w:num w:numId="148">
    <w:abstractNumId w:val="16"/>
  </w:num>
  <w:num w:numId="149">
    <w:abstractNumId w:val="107"/>
  </w:num>
  <w:num w:numId="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4"/>
  </w:num>
  <w:num w:numId="153">
    <w:abstractNumId w:val="24"/>
  </w:num>
  <w:num w:numId="154">
    <w:abstractNumId w:val="33"/>
  </w:num>
  <w:num w:numId="155">
    <w:abstractNumId w:val="36"/>
    <w:lvlOverride w:ilvl="0">
      <w:startOverride w:val="2"/>
    </w:lvlOverride>
  </w:num>
  <w:num w:numId="156">
    <w:abstractNumId w:val="36"/>
  </w:num>
  <w:num w:numId="157">
    <w:abstractNumId w:val="36"/>
  </w:num>
  <w:num w:numId="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4"/>
  </w:num>
  <w:num w:numId="1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num>
  <w:num w:numId="166">
    <w:abstractNumId w:val="101"/>
  </w:num>
  <w:num w:numId="167">
    <w:abstractNumId w:val="43"/>
  </w:num>
  <w:num w:numId="1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2"/>
  </w:num>
  <w:num w:numId="170">
    <w:abstractNumId w:val="50"/>
  </w:num>
  <w:num w:numId="171">
    <w:abstractNumId w:val="32"/>
  </w:num>
  <w:num w:numId="172">
    <w:abstractNumId w:val="55"/>
  </w:num>
  <w:num w:numId="173">
    <w:abstractNumId w:val="64"/>
  </w:num>
  <w:num w:numId="174">
    <w:abstractNumId w:val="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0034E"/>
    <w:rsid w:val="00000373"/>
    <w:rsid w:val="0000298D"/>
    <w:rsid w:val="00004768"/>
    <w:rsid w:val="0000499F"/>
    <w:rsid w:val="00005E99"/>
    <w:rsid w:val="00006A87"/>
    <w:rsid w:val="00010092"/>
    <w:rsid w:val="00010DE0"/>
    <w:rsid w:val="00011A64"/>
    <w:rsid w:val="00011FA1"/>
    <w:rsid w:val="00016372"/>
    <w:rsid w:val="0001773D"/>
    <w:rsid w:val="000224A1"/>
    <w:rsid w:val="000263D1"/>
    <w:rsid w:val="00027A2F"/>
    <w:rsid w:val="00030634"/>
    <w:rsid w:val="00032D9A"/>
    <w:rsid w:val="00032FA4"/>
    <w:rsid w:val="000336A5"/>
    <w:rsid w:val="00034962"/>
    <w:rsid w:val="000364DD"/>
    <w:rsid w:val="000365A6"/>
    <w:rsid w:val="00036BC1"/>
    <w:rsid w:val="000372B1"/>
    <w:rsid w:val="000405DC"/>
    <w:rsid w:val="00041EAE"/>
    <w:rsid w:val="000446A0"/>
    <w:rsid w:val="00044E7D"/>
    <w:rsid w:val="00044F25"/>
    <w:rsid w:val="00045FFE"/>
    <w:rsid w:val="00046C39"/>
    <w:rsid w:val="000476E0"/>
    <w:rsid w:val="00050A03"/>
    <w:rsid w:val="000525E4"/>
    <w:rsid w:val="00052628"/>
    <w:rsid w:val="0005362D"/>
    <w:rsid w:val="000539CE"/>
    <w:rsid w:val="0005575B"/>
    <w:rsid w:val="00055D04"/>
    <w:rsid w:val="000561F5"/>
    <w:rsid w:val="0005743F"/>
    <w:rsid w:val="000575EE"/>
    <w:rsid w:val="00057B90"/>
    <w:rsid w:val="0006070A"/>
    <w:rsid w:val="000622E3"/>
    <w:rsid w:val="000626EE"/>
    <w:rsid w:val="000642D3"/>
    <w:rsid w:val="00064485"/>
    <w:rsid w:val="00064A07"/>
    <w:rsid w:val="00065960"/>
    <w:rsid w:val="00065B24"/>
    <w:rsid w:val="00066075"/>
    <w:rsid w:val="0006757D"/>
    <w:rsid w:val="000709E3"/>
    <w:rsid w:val="000711AD"/>
    <w:rsid w:val="00071BD2"/>
    <w:rsid w:val="00071D7A"/>
    <w:rsid w:val="00072668"/>
    <w:rsid w:val="00072A2B"/>
    <w:rsid w:val="00072BB7"/>
    <w:rsid w:val="00073476"/>
    <w:rsid w:val="00073664"/>
    <w:rsid w:val="00073A88"/>
    <w:rsid w:val="000743F9"/>
    <w:rsid w:val="00074F48"/>
    <w:rsid w:val="000765E7"/>
    <w:rsid w:val="00077ADD"/>
    <w:rsid w:val="000800F0"/>
    <w:rsid w:val="00080203"/>
    <w:rsid w:val="00080D31"/>
    <w:rsid w:val="00080E38"/>
    <w:rsid w:val="00081454"/>
    <w:rsid w:val="000817E4"/>
    <w:rsid w:val="00081C9A"/>
    <w:rsid w:val="00082F71"/>
    <w:rsid w:val="0008374E"/>
    <w:rsid w:val="00083814"/>
    <w:rsid w:val="000838D9"/>
    <w:rsid w:val="00083B97"/>
    <w:rsid w:val="00084257"/>
    <w:rsid w:val="00085ED1"/>
    <w:rsid w:val="0008768A"/>
    <w:rsid w:val="00090655"/>
    <w:rsid w:val="000917DB"/>
    <w:rsid w:val="00092210"/>
    <w:rsid w:val="000938E3"/>
    <w:rsid w:val="0009493B"/>
    <w:rsid w:val="00094A02"/>
    <w:rsid w:val="0009520D"/>
    <w:rsid w:val="0009539E"/>
    <w:rsid w:val="00095BBF"/>
    <w:rsid w:val="00096864"/>
    <w:rsid w:val="00096B92"/>
    <w:rsid w:val="00096BA0"/>
    <w:rsid w:val="00097581"/>
    <w:rsid w:val="000A0047"/>
    <w:rsid w:val="000A0B7C"/>
    <w:rsid w:val="000A1733"/>
    <w:rsid w:val="000A2C80"/>
    <w:rsid w:val="000A5111"/>
    <w:rsid w:val="000A52CF"/>
    <w:rsid w:val="000A5361"/>
    <w:rsid w:val="000A5AE6"/>
    <w:rsid w:val="000A6F0A"/>
    <w:rsid w:val="000A6F4A"/>
    <w:rsid w:val="000A7D4C"/>
    <w:rsid w:val="000B0F8A"/>
    <w:rsid w:val="000B2C03"/>
    <w:rsid w:val="000B2E2E"/>
    <w:rsid w:val="000B4B68"/>
    <w:rsid w:val="000B4CFD"/>
    <w:rsid w:val="000B4D46"/>
    <w:rsid w:val="000B4FDA"/>
    <w:rsid w:val="000B5A28"/>
    <w:rsid w:val="000B62D9"/>
    <w:rsid w:val="000B6AAB"/>
    <w:rsid w:val="000B711B"/>
    <w:rsid w:val="000B714A"/>
    <w:rsid w:val="000B753D"/>
    <w:rsid w:val="000C0072"/>
    <w:rsid w:val="000C0949"/>
    <w:rsid w:val="000C11C8"/>
    <w:rsid w:val="000C1597"/>
    <w:rsid w:val="000C18A0"/>
    <w:rsid w:val="000C1EBD"/>
    <w:rsid w:val="000C2351"/>
    <w:rsid w:val="000C35B7"/>
    <w:rsid w:val="000C3F93"/>
    <w:rsid w:val="000C4C80"/>
    <w:rsid w:val="000C4D08"/>
    <w:rsid w:val="000C4ED2"/>
    <w:rsid w:val="000C5F4A"/>
    <w:rsid w:val="000C5F66"/>
    <w:rsid w:val="000C71CC"/>
    <w:rsid w:val="000D0321"/>
    <w:rsid w:val="000D1430"/>
    <w:rsid w:val="000D1E63"/>
    <w:rsid w:val="000D2BEE"/>
    <w:rsid w:val="000D3A18"/>
    <w:rsid w:val="000D42C6"/>
    <w:rsid w:val="000D4F75"/>
    <w:rsid w:val="000D60AE"/>
    <w:rsid w:val="000D6458"/>
    <w:rsid w:val="000E0ECB"/>
    <w:rsid w:val="000E1AB9"/>
    <w:rsid w:val="000E4C16"/>
    <w:rsid w:val="000E4FDF"/>
    <w:rsid w:val="000E5DB8"/>
    <w:rsid w:val="000E65C1"/>
    <w:rsid w:val="000E6C5F"/>
    <w:rsid w:val="000F0091"/>
    <w:rsid w:val="000F0148"/>
    <w:rsid w:val="000F09D2"/>
    <w:rsid w:val="000F220C"/>
    <w:rsid w:val="000F305A"/>
    <w:rsid w:val="000F30D1"/>
    <w:rsid w:val="000F4429"/>
    <w:rsid w:val="000F4A16"/>
    <w:rsid w:val="000F5998"/>
    <w:rsid w:val="000F5DC2"/>
    <w:rsid w:val="000F603F"/>
    <w:rsid w:val="000F6A36"/>
    <w:rsid w:val="000F6CA1"/>
    <w:rsid w:val="000F6D7C"/>
    <w:rsid w:val="000F6E07"/>
    <w:rsid w:val="000F70BC"/>
    <w:rsid w:val="000F72A3"/>
    <w:rsid w:val="00100A07"/>
    <w:rsid w:val="00100A14"/>
    <w:rsid w:val="001019F7"/>
    <w:rsid w:val="00102E56"/>
    <w:rsid w:val="00103EC1"/>
    <w:rsid w:val="00110554"/>
    <w:rsid w:val="00111E13"/>
    <w:rsid w:val="00113DDD"/>
    <w:rsid w:val="00114510"/>
    <w:rsid w:val="00114FF8"/>
    <w:rsid w:val="00115472"/>
    <w:rsid w:val="00115694"/>
    <w:rsid w:val="00115D8F"/>
    <w:rsid w:val="00116356"/>
    <w:rsid w:val="00116A02"/>
    <w:rsid w:val="0011741B"/>
    <w:rsid w:val="00117B25"/>
    <w:rsid w:val="00117FA4"/>
    <w:rsid w:val="00120224"/>
    <w:rsid w:val="00120927"/>
    <w:rsid w:val="00121841"/>
    <w:rsid w:val="0012304B"/>
    <w:rsid w:val="00124A56"/>
    <w:rsid w:val="00125472"/>
    <w:rsid w:val="00125A74"/>
    <w:rsid w:val="001263D9"/>
    <w:rsid w:val="00127984"/>
    <w:rsid w:val="0013074F"/>
    <w:rsid w:val="00131629"/>
    <w:rsid w:val="001318CF"/>
    <w:rsid w:val="00131BCC"/>
    <w:rsid w:val="00132CD8"/>
    <w:rsid w:val="00133622"/>
    <w:rsid w:val="00133E8F"/>
    <w:rsid w:val="00134188"/>
    <w:rsid w:val="0013788E"/>
    <w:rsid w:val="001378AD"/>
    <w:rsid w:val="00137C7B"/>
    <w:rsid w:val="001406A5"/>
    <w:rsid w:val="00141246"/>
    <w:rsid w:val="0014155D"/>
    <w:rsid w:val="001442B1"/>
    <w:rsid w:val="00145A52"/>
    <w:rsid w:val="0014612E"/>
    <w:rsid w:val="001462EE"/>
    <w:rsid w:val="00146663"/>
    <w:rsid w:val="00146B9F"/>
    <w:rsid w:val="0014729D"/>
    <w:rsid w:val="001472AA"/>
    <w:rsid w:val="0015009F"/>
    <w:rsid w:val="001520AA"/>
    <w:rsid w:val="001524D3"/>
    <w:rsid w:val="00152DD2"/>
    <w:rsid w:val="00152EA0"/>
    <w:rsid w:val="00154695"/>
    <w:rsid w:val="001567A0"/>
    <w:rsid w:val="00156E51"/>
    <w:rsid w:val="00160F68"/>
    <w:rsid w:val="00161207"/>
    <w:rsid w:val="00161351"/>
    <w:rsid w:val="00162599"/>
    <w:rsid w:val="001627A2"/>
    <w:rsid w:val="00164FA5"/>
    <w:rsid w:val="00165D0D"/>
    <w:rsid w:val="00166465"/>
    <w:rsid w:val="00166EC6"/>
    <w:rsid w:val="0016750B"/>
    <w:rsid w:val="001701AB"/>
    <w:rsid w:val="00170230"/>
    <w:rsid w:val="00170323"/>
    <w:rsid w:val="00171F39"/>
    <w:rsid w:val="00172D69"/>
    <w:rsid w:val="00173218"/>
    <w:rsid w:val="0017387E"/>
    <w:rsid w:val="001749D2"/>
    <w:rsid w:val="00176C64"/>
    <w:rsid w:val="001770B2"/>
    <w:rsid w:val="001777FA"/>
    <w:rsid w:val="00177EB4"/>
    <w:rsid w:val="00180056"/>
    <w:rsid w:val="00180547"/>
    <w:rsid w:val="00180AA0"/>
    <w:rsid w:val="00181547"/>
    <w:rsid w:val="00182099"/>
    <w:rsid w:val="0018289A"/>
    <w:rsid w:val="00182FDD"/>
    <w:rsid w:val="001835AA"/>
    <w:rsid w:val="00184784"/>
    <w:rsid w:val="0018673B"/>
    <w:rsid w:val="00186F16"/>
    <w:rsid w:val="0018777D"/>
    <w:rsid w:val="0018783D"/>
    <w:rsid w:val="00187C2E"/>
    <w:rsid w:val="0019227C"/>
    <w:rsid w:val="001925CD"/>
    <w:rsid w:val="0019330D"/>
    <w:rsid w:val="00193875"/>
    <w:rsid w:val="00194032"/>
    <w:rsid w:val="00194935"/>
    <w:rsid w:val="00194D43"/>
    <w:rsid w:val="0019553D"/>
    <w:rsid w:val="001958E2"/>
    <w:rsid w:val="00196F24"/>
    <w:rsid w:val="00197159"/>
    <w:rsid w:val="0019718B"/>
    <w:rsid w:val="001A123B"/>
    <w:rsid w:val="001A3B6C"/>
    <w:rsid w:val="001A5057"/>
    <w:rsid w:val="001A630D"/>
    <w:rsid w:val="001A63F2"/>
    <w:rsid w:val="001A6F13"/>
    <w:rsid w:val="001A7C21"/>
    <w:rsid w:val="001B0B1F"/>
    <w:rsid w:val="001B0BDF"/>
    <w:rsid w:val="001B127C"/>
    <w:rsid w:val="001B3957"/>
    <w:rsid w:val="001B4018"/>
    <w:rsid w:val="001B41A1"/>
    <w:rsid w:val="001B50FE"/>
    <w:rsid w:val="001B59C6"/>
    <w:rsid w:val="001B5C28"/>
    <w:rsid w:val="001C2218"/>
    <w:rsid w:val="001C244B"/>
    <w:rsid w:val="001C393E"/>
    <w:rsid w:val="001C3B77"/>
    <w:rsid w:val="001C435C"/>
    <w:rsid w:val="001C4BEC"/>
    <w:rsid w:val="001C4CFF"/>
    <w:rsid w:val="001C4FCD"/>
    <w:rsid w:val="001C58DD"/>
    <w:rsid w:val="001C614D"/>
    <w:rsid w:val="001D1310"/>
    <w:rsid w:val="001D2F55"/>
    <w:rsid w:val="001D58AC"/>
    <w:rsid w:val="001D78AC"/>
    <w:rsid w:val="001E17AD"/>
    <w:rsid w:val="001E1BAC"/>
    <w:rsid w:val="001E21BB"/>
    <w:rsid w:val="001E2EFB"/>
    <w:rsid w:val="001E3423"/>
    <w:rsid w:val="001E5526"/>
    <w:rsid w:val="001F0BD1"/>
    <w:rsid w:val="001F0C82"/>
    <w:rsid w:val="001F3892"/>
    <w:rsid w:val="001F38AE"/>
    <w:rsid w:val="001F6180"/>
    <w:rsid w:val="001F6334"/>
    <w:rsid w:val="001F66C0"/>
    <w:rsid w:val="001F681C"/>
    <w:rsid w:val="002001B8"/>
    <w:rsid w:val="00201148"/>
    <w:rsid w:val="00201286"/>
    <w:rsid w:val="00202416"/>
    <w:rsid w:val="00203562"/>
    <w:rsid w:val="002040C5"/>
    <w:rsid w:val="0021093F"/>
    <w:rsid w:val="002111A2"/>
    <w:rsid w:val="0021135C"/>
    <w:rsid w:val="002118A2"/>
    <w:rsid w:val="00211902"/>
    <w:rsid w:val="00211A75"/>
    <w:rsid w:val="00211D10"/>
    <w:rsid w:val="00212325"/>
    <w:rsid w:val="00212580"/>
    <w:rsid w:val="0021448F"/>
    <w:rsid w:val="0021472E"/>
    <w:rsid w:val="00215AEF"/>
    <w:rsid w:val="00217164"/>
    <w:rsid w:val="00217486"/>
    <w:rsid w:val="00217C3B"/>
    <w:rsid w:val="0022014D"/>
    <w:rsid w:val="00220A8B"/>
    <w:rsid w:val="00220FC3"/>
    <w:rsid w:val="002221A2"/>
    <w:rsid w:val="00222AB3"/>
    <w:rsid w:val="00225EA0"/>
    <w:rsid w:val="00227160"/>
    <w:rsid w:val="00227823"/>
    <w:rsid w:val="00230055"/>
    <w:rsid w:val="0023079B"/>
    <w:rsid w:val="00231B51"/>
    <w:rsid w:val="002321D6"/>
    <w:rsid w:val="00232546"/>
    <w:rsid w:val="00232DD5"/>
    <w:rsid w:val="00233AC2"/>
    <w:rsid w:val="002349AE"/>
    <w:rsid w:val="00234B36"/>
    <w:rsid w:val="00236597"/>
    <w:rsid w:val="00236B3E"/>
    <w:rsid w:val="00236F1C"/>
    <w:rsid w:val="0024093A"/>
    <w:rsid w:val="0024295B"/>
    <w:rsid w:val="00243FC2"/>
    <w:rsid w:val="002451A0"/>
    <w:rsid w:val="00246418"/>
    <w:rsid w:val="00247E27"/>
    <w:rsid w:val="00250374"/>
    <w:rsid w:val="0025178F"/>
    <w:rsid w:val="00252782"/>
    <w:rsid w:val="00253E85"/>
    <w:rsid w:val="00254515"/>
    <w:rsid w:val="00254657"/>
    <w:rsid w:val="00254775"/>
    <w:rsid w:val="0025503A"/>
    <w:rsid w:val="00255130"/>
    <w:rsid w:val="002559E2"/>
    <w:rsid w:val="00255CC8"/>
    <w:rsid w:val="002563A1"/>
    <w:rsid w:val="00256F8F"/>
    <w:rsid w:val="002575FD"/>
    <w:rsid w:val="00260362"/>
    <w:rsid w:val="0026042E"/>
    <w:rsid w:val="00260AD3"/>
    <w:rsid w:val="00261997"/>
    <w:rsid w:val="00262130"/>
    <w:rsid w:val="002627F6"/>
    <w:rsid w:val="00262A92"/>
    <w:rsid w:val="00263084"/>
    <w:rsid w:val="002648C8"/>
    <w:rsid w:val="00264F11"/>
    <w:rsid w:val="002668AD"/>
    <w:rsid w:val="00266B11"/>
    <w:rsid w:val="00266E23"/>
    <w:rsid w:val="00267261"/>
    <w:rsid w:val="0026745B"/>
    <w:rsid w:val="00270109"/>
    <w:rsid w:val="00270815"/>
    <w:rsid w:val="0027092E"/>
    <w:rsid w:val="00270C3E"/>
    <w:rsid w:val="002736A4"/>
    <w:rsid w:val="00273CBD"/>
    <w:rsid w:val="00274148"/>
    <w:rsid w:val="002761F6"/>
    <w:rsid w:val="00276D49"/>
    <w:rsid w:val="002773B0"/>
    <w:rsid w:val="00277911"/>
    <w:rsid w:val="00280980"/>
    <w:rsid w:val="00281820"/>
    <w:rsid w:val="00282176"/>
    <w:rsid w:val="0028304B"/>
    <w:rsid w:val="0028475C"/>
    <w:rsid w:val="00284982"/>
    <w:rsid w:val="00284E1B"/>
    <w:rsid w:val="0028680C"/>
    <w:rsid w:val="00286BD7"/>
    <w:rsid w:val="0028735D"/>
    <w:rsid w:val="00287EC1"/>
    <w:rsid w:val="00290509"/>
    <w:rsid w:val="002942C3"/>
    <w:rsid w:val="0029443F"/>
    <w:rsid w:val="0029508A"/>
    <w:rsid w:val="00295F0F"/>
    <w:rsid w:val="00296F8C"/>
    <w:rsid w:val="00297546"/>
    <w:rsid w:val="002A24EB"/>
    <w:rsid w:val="002A380A"/>
    <w:rsid w:val="002A3A53"/>
    <w:rsid w:val="002A42B3"/>
    <w:rsid w:val="002A5878"/>
    <w:rsid w:val="002A5ECD"/>
    <w:rsid w:val="002A614B"/>
    <w:rsid w:val="002A7F3C"/>
    <w:rsid w:val="002B0AE7"/>
    <w:rsid w:val="002B12A6"/>
    <w:rsid w:val="002B16B6"/>
    <w:rsid w:val="002B3160"/>
    <w:rsid w:val="002B39E7"/>
    <w:rsid w:val="002B4A4E"/>
    <w:rsid w:val="002B5225"/>
    <w:rsid w:val="002B59F3"/>
    <w:rsid w:val="002B5B10"/>
    <w:rsid w:val="002B5EA3"/>
    <w:rsid w:val="002B6730"/>
    <w:rsid w:val="002B688C"/>
    <w:rsid w:val="002B711A"/>
    <w:rsid w:val="002B7132"/>
    <w:rsid w:val="002C0FD3"/>
    <w:rsid w:val="002C1407"/>
    <w:rsid w:val="002C1E48"/>
    <w:rsid w:val="002C2CBA"/>
    <w:rsid w:val="002C3635"/>
    <w:rsid w:val="002C381A"/>
    <w:rsid w:val="002C474E"/>
    <w:rsid w:val="002C597E"/>
    <w:rsid w:val="002C6320"/>
    <w:rsid w:val="002D1A9D"/>
    <w:rsid w:val="002D21A5"/>
    <w:rsid w:val="002D25E9"/>
    <w:rsid w:val="002D26D3"/>
    <w:rsid w:val="002D2924"/>
    <w:rsid w:val="002D4615"/>
    <w:rsid w:val="002D47C3"/>
    <w:rsid w:val="002D508E"/>
    <w:rsid w:val="002D5FE5"/>
    <w:rsid w:val="002D6EAC"/>
    <w:rsid w:val="002D6EC6"/>
    <w:rsid w:val="002D73ED"/>
    <w:rsid w:val="002E04B9"/>
    <w:rsid w:val="002E0DBB"/>
    <w:rsid w:val="002E18C0"/>
    <w:rsid w:val="002E2C7F"/>
    <w:rsid w:val="002E3370"/>
    <w:rsid w:val="002E33D6"/>
    <w:rsid w:val="002E3E62"/>
    <w:rsid w:val="002E54F5"/>
    <w:rsid w:val="002E57A9"/>
    <w:rsid w:val="002E6A94"/>
    <w:rsid w:val="002E71DD"/>
    <w:rsid w:val="002E74BF"/>
    <w:rsid w:val="002E77D5"/>
    <w:rsid w:val="002E77F9"/>
    <w:rsid w:val="002E7D7A"/>
    <w:rsid w:val="002F0FB3"/>
    <w:rsid w:val="002F1C18"/>
    <w:rsid w:val="002F265F"/>
    <w:rsid w:val="002F3E4C"/>
    <w:rsid w:val="002F4BA5"/>
    <w:rsid w:val="002F5648"/>
    <w:rsid w:val="002F607F"/>
    <w:rsid w:val="00301FEA"/>
    <w:rsid w:val="00302244"/>
    <w:rsid w:val="0030264A"/>
    <w:rsid w:val="00303A4E"/>
    <w:rsid w:val="00303F48"/>
    <w:rsid w:val="003040D7"/>
    <w:rsid w:val="003068B5"/>
    <w:rsid w:val="003069F1"/>
    <w:rsid w:val="0030782F"/>
    <w:rsid w:val="0031090B"/>
    <w:rsid w:val="00311007"/>
    <w:rsid w:val="00311356"/>
    <w:rsid w:val="00311D62"/>
    <w:rsid w:val="003141BA"/>
    <w:rsid w:val="003148F2"/>
    <w:rsid w:val="00315395"/>
    <w:rsid w:val="00315CE2"/>
    <w:rsid w:val="0031624E"/>
    <w:rsid w:val="00317609"/>
    <w:rsid w:val="00320308"/>
    <w:rsid w:val="00320439"/>
    <w:rsid w:val="00321083"/>
    <w:rsid w:val="00321114"/>
    <w:rsid w:val="00322942"/>
    <w:rsid w:val="003245CD"/>
    <w:rsid w:val="00324A9F"/>
    <w:rsid w:val="0032592D"/>
    <w:rsid w:val="0032649B"/>
    <w:rsid w:val="00326752"/>
    <w:rsid w:val="00326DA2"/>
    <w:rsid w:val="00327471"/>
    <w:rsid w:val="00327CC4"/>
    <w:rsid w:val="00327E76"/>
    <w:rsid w:val="00330A27"/>
    <w:rsid w:val="003328A8"/>
    <w:rsid w:val="00332B99"/>
    <w:rsid w:val="0033319C"/>
    <w:rsid w:val="003344C1"/>
    <w:rsid w:val="00334A36"/>
    <w:rsid w:val="00334F87"/>
    <w:rsid w:val="00335602"/>
    <w:rsid w:val="0033585F"/>
    <w:rsid w:val="0033668F"/>
    <w:rsid w:val="00336A13"/>
    <w:rsid w:val="00337546"/>
    <w:rsid w:val="00337BDD"/>
    <w:rsid w:val="0034034B"/>
    <w:rsid w:val="003403AC"/>
    <w:rsid w:val="00340C1F"/>
    <w:rsid w:val="00341F63"/>
    <w:rsid w:val="00342BE5"/>
    <w:rsid w:val="00342CD0"/>
    <w:rsid w:val="003442C6"/>
    <w:rsid w:val="003443C5"/>
    <w:rsid w:val="0034495B"/>
    <w:rsid w:val="00344C37"/>
    <w:rsid w:val="003452DB"/>
    <w:rsid w:val="00347F86"/>
    <w:rsid w:val="00350835"/>
    <w:rsid w:val="00350CA2"/>
    <w:rsid w:val="003512F3"/>
    <w:rsid w:val="00351963"/>
    <w:rsid w:val="003533C3"/>
    <w:rsid w:val="00353735"/>
    <w:rsid w:val="00354563"/>
    <w:rsid w:val="003545B3"/>
    <w:rsid w:val="00354640"/>
    <w:rsid w:val="00354FF8"/>
    <w:rsid w:val="00355621"/>
    <w:rsid w:val="00355775"/>
    <w:rsid w:val="00355BA8"/>
    <w:rsid w:val="00357442"/>
    <w:rsid w:val="00361D5A"/>
    <w:rsid w:val="003627AF"/>
    <w:rsid w:val="00362E9F"/>
    <w:rsid w:val="003636C2"/>
    <w:rsid w:val="00364837"/>
    <w:rsid w:val="003651ED"/>
    <w:rsid w:val="00366CD9"/>
    <w:rsid w:val="00370E41"/>
    <w:rsid w:val="003716FD"/>
    <w:rsid w:val="0037235D"/>
    <w:rsid w:val="00375029"/>
    <w:rsid w:val="00375D22"/>
    <w:rsid w:val="003762A0"/>
    <w:rsid w:val="003763D9"/>
    <w:rsid w:val="0037661B"/>
    <w:rsid w:val="003779A8"/>
    <w:rsid w:val="00377B31"/>
    <w:rsid w:val="00380444"/>
    <w:rsid w:val="003804B1"/>
    <w:rsid w:val="0038069A"/>
    <w:rsid w:val="003813B2"/>
    <w:rsid w:val="00382952"/>
    <w:rsid w:val="00382CE7"/>
    <w:rsid w:val="00383FFE"/>
    <w:rsid w:val="0038445A"/>
    <w:rsid w:val="00384AD7"/>
    <w:rsid w:val="00384FA7"/>
    <w:rsid w:val="00386907"/>
    <w:rsid w:val="00386DA3"/>
    <w:rsid w:val="00387241"/>
    <w:rsid w:val="00390073"/>
    <w:rsid w:val="00390211"/>
    <w:rsid w:val="00391094"/>
    <w:rsid w:val="003929CD"/>
    <w:rsid w:val="00392E48"/>
    <w:rsid w:val="00393071"/>
    <w:rsid w:val="00395A11"/>
    <w:rsid w:val="00395EDF"/>
    <w:rsid w:val="00395EE2"/>
    <w:rsid w:val="003A00F3"/>
    <w:rsid w:val="003A037B"/>
    <w:rsid w:val="003A0514"/>
    <w:rsid w:val="003A1391"/>
    <w:rsid w:val="003A1DB5"/>
    <w:rsid w:val="003A2F10"/>
    <w:rsid w:val="003A359E"/>
    <w:rsid w:val="003A3FAA"/>
    <w:rsid w:val="003A56EF"/>
    <w:rsid w:val="003A5DDE"/>
    <w:rsid w:val="003A662E"/>
    <w:rsid w:val="003A7013"/>
    <w:rsid w:val="003A7283"/>
    <w:rsid w:val="003A72F0"/>
    <w:rsid w:val="003A7EAC"/>
    <w:rsid w:val="003B055C"/>
    <w:rsid w:val="003B0773"/>
    <w:rsid w:val="003B1602"/>
    <w:rsid w:val="003B3587"/>
    <w:rsid w:val="003B3636"/>
    <w:rsid w:val="003B3D7D"/>
    <w:rsid w:val="003B4E94"/>
    <w:rsid w:val="003B54C2"/>
    <w:rsid w:val="003B5D78"/>
    <w:rsid w:val="003B6308"/>
    <w:rsid w:val="003C095E"/>
    <w:rsid w:val="003C2B43"/>
    <w:rsid w:val="003C2C2B"/>
    <w:rsid w:val="003C3635"/>
    <w:rsid w:val="003C3664"/>
    <w:rsid w:val="003C3670"/>
    <w:rsid w:val="003C3DEC"/>
    <w:rsid w:val="003C4988"/>
    <w:rsid w:val="003C53BA"/>
    <w:rsid w:val="003C6D51"/>
    <w:rsid w:val="003C71E6"/>
    <w:rsid w:val="003C77CB"/>
    <w:rsid w:val="003D20C7"/>
    <w:rsid w:val="003D288D"/>
    <w:rsid w:val="003D28E1"/>
    <w:rsid w:val="003D2FED"/>
    <w:rsid w:val="003D54C7"/>
    <w:rsid w:val="003D5641"/>
    <w:rsid w:val="003D5EE5"/>
    <w:rsid w:val="003D6A92"/>
    <w:rsid w:val="003E0ABB"/>
    <w:rsid w:val="003E0B34"/>
    <w:rsid w:val="003E2E83"/>
    <w:rsid w:val="003E36A9"/>
    <w:rsid w:val="003E5C0D"/>
    <w:rsid w:val="003E706D"/>
    <w:rsid w:val="003E7B4D"/>
    <w:rsid w:val="003E7EE4"/>
    <w:rsid w:val="003F2928"/>
    <w:rsid w:val="003F3279"/>
    <w:rsid w:val="003F46B8"/>
    <w:rsid w:val="003F4744"/>
    <w:rsid w:val="003F523A"/>
    <w:rsid w:val="003F539B"/>
    <w:rsid w:val="003F54ED"/>
    <w:rsid w:val="003F5B22"/>
    <w:rsid w:val="003F7085"/>
    <w:rsid w:val="003F7302"/>
    <w:rsid w:val="003F7369"/>
    <w:rsid w:val="003F7463"/>
    <w:rsid w:val="004005ED"/>
    <w:rsid w:val="0040066F"/>
    <w:rsid w:val="00401B94"/>
    <w:rsid w:val="00401EC1"/>
    <w:rsid w:val="00402193"/>
    <w:rsid w:val="00402D3B"/>
    <w:rsid w:val="00403C36"/>
    <w:rsid w:val="00405703"/>
    <w:rsid w:val="00405BF7"/>
    <w:rsid w:val="00410252"/>
    <w:rsid w:val="004123D5"/>
    <w:rsid w:val="0041266A"/>
    <w:rsid w:val="00412F1F"/>
    <w:rsid w:val="0041397F"/>
    <w:rsid w:val="0041488D"/>
    <w:rsid w:val="00414997"/>
    <w:rsid w:val="00415EDF"/>
    <w:rsid w:val="004173CB"/>
    <w:rsid w:val="00417AE4"/>
    <w:rsid w:val="004208FE"/>
    <w:rsid w:val="00420F1B"/>
    <w:rsid w:val="00421732"/>
    <w:rsid w:val="00421BBB"/>
    <w:rsid w:val="00422463"/>
    <w:rsid w:val="0042257E"/>
    <w:rsid w:val="00422E10"/>
    <w:rsid w:val="004231A5"/>
    <w:rsid w:val="00423D6A"/>
    <w:rsid w:val="0042621D"/>
    <w:rsid w:val="004265EC"/>
    <w:rsid w:val="00427F5C"/>
    <w:rsid w:val="00430E45"/>
    <w:rsid w:val="004312BD"/>
    <w:rsid w:val="0043237B"/>
    <w:rsid w:val="004334D6"/>
    <w:rsid w:val="00434988"/>
    <w:rsid w:val="00434C30"/>
    <w:rsid w:val="00435868"/>
    <w:rsid w:val="00435C3C"/>
    <w:rsid w:val="00437223"/>
    <w:rsid w:val="00437F6E"/>
    <w:rsid w:val="00440281"/>
    <w:rsid w:val="004402D3"/>
    <w:rsid w:val="00440A07"/>
    <w:rsid w:val="004415E2"/>
    <w:rsid w:val="00441A45"/>
    <w:rsid w:val="004422AB"/>
    <w:rsid w:val="00442D03"/>
    <w:rsid w:val="0044321A"/>
    <w:rsid w:val="0044433D"/>
    <w:rsid w:val="00444B8E"/>
    <w:rsid w:val="00446101"/>
    <w:rsid w:val="004472E0"/>
    <w:rsid w:val="00447D76"/>
    <w:rsid w:val="004500A7"/>
    <w:rsid w:val="0045040D"/>
    <w:rsid w:val="00452849"/>
    <w:rsid w:val="00452DC9"/>
    <w:rsid w:val="00453479"/>
    <w:rsid w:val="00453AB9"/>
    <w:rsid w:val="00454061"/>
    <w:rsid w:val="004545FC"/>
    <w:rsid w:val="00454A92"/>
    <w:rsid w:val="00454B02"/>
    <w:rsid w:val="00455CE8"/>
    <w:rsid w:val="00455E96"/>
    <w:rsid w:val="0045646F"/>
    <w:rsid w:val="00457053"/>
    <w:rsid w:val="00457517"/>
    <w:rsid w:val="00457643"/>
    <w:rsid w:val="00457700"/>
    <w:rsid w:val="00460E7A"/>
    <w:rsid w:val="004613F2"/>
    <w:rsid w:val="004659DF"/>
    <w:rsid w:val="00465DFC"/>
    <w:rsid w:val="004668D2"/>
    <w:rsid w:val="0046746C"/>
    <w:rsid w:val="0047090D"/>
    <w:rsid w:val="004709B7"/>
    <w:rsid w:val="004739BD"/>
    <w:rsid w:val="00474A16"/>
    <w:rsid w:val="0047506B"/>
    <w:rsid w:val="004756F3"/>
    <w:rsid w:val="00475CD3"/>
    <w:rsid w:val="00475F94"/>
    <w:rsid w:val="0047614F"/>
    <w:rsid w:val="004772A2"/>
    <w:rsid w:val="00477828"/>
    <w:rsid w:val="00480A07"/>
    <w:rsid w:val="004811E6"/>
    <w:rsid w:val="0048186C"/>
    <w:rsid w:val="00483996"/>
    <w:rsid w:val="00486397"/>
    <w:rsid w:val="004863AE"/>
    <w:rsid w:val="0048722F"/>
    <w:rsid w:val="00487606"/>
    <w:rsid w:val="00490C0B"/>
    <w:rsid w:val="00491462"/>
    <w:rsid w:val="00491D29"/>
    <w:rsid w:val="004940D4"/>
    <w:rsid w:val="00494BDB"/>
    <w:rsid w:val="00494D80"/>
    <w:rsid w:val="00495742"/>
    <w:rsid w:val="004972D6"/>
    <w:rsid w:val="004A038A"/>
    <w:rsid w:val="004A1833"/>
    <w:rsid w:val="004A1D1A"/>
    <w:rsid w:val="004A394B"/>
    <w:rsid w:val="004A3E4D"/>
    <w:rsid w:val="004A5722"/>
    <w:rsid w:val="004A60A2"/>
    <w:rsid w:val="004A6610"/>
    <w:rsid w:val="004A757E"/>
    <w:rsid w:val="004A77CF"/>
    <w:rsid w:val="004B0819"/>
    <w:rsid w:val="004B095D"/>
    <w:rsid w:val="004B0CF4"/>
    <w:rsid w:val="004B11E6"/>
    <w:rsid w:val="004B142C"/>
    <w:rsid w:val="004B14D5"/>
    <w:rsid w:val="004B20FB"/>
    <w:rsid w:val="004B3078"/>
    <w:rsid w:val="004B3CA6"/>
    <w:rsid w:val="004B4D40"/>
    <w:rsid w:val="004B4FB2"/>
    <w:rsid w:val="004B7CC7"/>
    <w:rsid w:val="004C0CE7"/>
    <w:rsid w:val="004C1828"/>
    <w:rsid w:val="004C1F13"/>
    <w:rsid w:val="004C1F1F"/>
    <w:rsid w:val="004C1FD9"/>
    <w:rsid w:val="004C45FF"/>
    <w:rsid w:val="004C4AFE"/>
    <w:rsid w:val="004C4E76"/>
    <w:rsid w:val="004C601B"/>
    <w:rsid w:val="004C7204"/>
    <w:rsid w:val="004C73F1"/>
    <w:rsid w:val="004C75DF"/>
    <w:rsid w:val="004C7D30"/>
    <w:rsid w:val="004D1D81"/>
    <w:rsid w:val="004D2BEB"/>
    <w:rsid w:val="004D3145"/>
    <w:rsid w:val="004D379F"/>
    <w:rsid w:val="004D390D"/>
    <w:rsid w:val="004D3CCD"/>
    <w:rsid w:val="004D4FA0"/>
    <w:rsid w:val="004D5EE7"/>
    <w:rsid w:val="004D6D9D"/>
    <w:rsid w:val="004E12E5"/>
    <w:rsid w:val="004E13F9"/>
    <w:rsid w:val="004E1675"/>
    <w:rsid w:val="004E1F8B"/>
    <w:rsid w:val="004E224A"/>
    <w:rsid w:val="004E27E2"/>
    <w:rsid w:val="004E28A1"/>
    <w:rsid w:val="004E2A77"/>
    <w:rsid w:val="004E3FE9"/>
    <w:rsid w:val="004E4448"/>
    <w:rsid w:val="004E4A87"/>
    <w:rsid w:val="004E526C"/>
    <w:rsid w:val="004E5850"/>
    <w:rsid w:val="004E63B9"/>
    <w:rsid w:val="004F03F5"/>
    <w:rsid w:val="004F2096"/>
    <w:rsid w:val="004F21E6"/>
    <w:rsid w:val="004F2307"/>
    <w:rsid w:val="004F2F78"/>
    <w:rsid w:val="004F3356"/>
    <w:rsid w:val="004F3404"/>
    <w:rsid w:val="004F45DA"/>
    <w:rsid w:val="004F4E0C"/>
    <w:rsid w:val="004F6826"/>
    <w:rsid w:val="004F68CA"/>
    <w:rsid w:val="005007ED"/>
    <w:rsid w:val="005008D1"/>
    <w:rsid w:val="005009E2"/>
    <w:rsid w:val="00500CB0"/>
    <w:rsid w:val="0050328F"/>
    <w:rsid w:val="00503CEA"/>
    <w:rsid w:val="005045B3"/>
    <w:rsid w:val="005046D4"/>
    <w:rsid w:val="00504D3A"/>
    <w:rsid w:val="00505E87"/>
    <w:rsid w:val="00510501"/>
    <w:rsid w:val="00510C7B"/>
    <w:rsid w:val="00511725"/>
    <w:rsid w:val="0051194F"/>
    <w:rsid w:val="00512C06"/>
    <w:rsid w:val="005137FF"/>
    <w:rsid w:val="00513CFF"/>
    <w:rsid w:val="005156B0"/>
    <w:rsid w:val="00516B92"/>
    <w:rsid w:val="005174BB"/>
    <w:rsid w:val="00521481"/>
    <w:rsid w:val="00521676"/>
    <w:rsid w:val="00523525"/>
    <w:rsid w:val="00523568"/>
    <w:rsid w:val="00523AC2"/>
    <w:rsid w:val="00524896"/>
    <w:rsid w:val="00525242"/>
    <w:rsid w:val="005260E2"/>
    <w:rsid w:val="00527BBD"/>
    <w:rsid w:val="005301D5"/>
    <w:rsid w:val="0053040F"/>
    <w:rsid w:val="00530911"/>
    <w:rsid w:val="005339BE"/>
    <w:rsid w:val="005339CE"/>
    <w:rsid w:val="00534420"/>
    <w:rsid w:val="005357CC"/>
    <w:rsid w:val="00536983"/>
    <w:rsid w:val="00536BDE"/>
    <w:rsid w:val="00536C25"/>
    <w:rsid w:val="00537406"/>
    <w:rsid w:val="0053788A"/>
    <w:rsid w:val="005406DB"/>
    <w:rsid w:val="005416DD"/>
    <w:rsid w:val="00541A49"/>
    <w:rsid w:val="005428B6"/>
    <w:rsid w:val="005438B4"/>
    <w:rsid w:val="00545303"/>
    <w:rsid w:val="005456E9"/>
    <w:rsid w:val="005460FD"/>
    <w:rsid w:val="00547A4E"/>
    <w:rsid w:val="005501BF"/>
    <w:rsid w:val="00550A3C"/>
    <w:rsid w:val="00551E33"/>
    <w:rsid w:val="005540BA"/>
    <w:rsid w:val="0055424D"/>
    <w:rsid w:val="0055549D"/>
    <w:rsid w:val="00556494"/>
    <w:rsid w:val="00556A32"/>
    <w:rsid w:val="00556CC8"/>
    <w:rsid w:val="005578AC"/>
    <w:rsid w:val="0056273B"/>
    <w:rsid w:val="00563316"/>
    <w:rsid w:val="005646E5"/>
    <w:rsid w:val="00565C67"/>
    <w:rsid w:val="005671B0"/>
    <w:rsid w:val="00567B4B"/>
    <w:rsid w:val="00570200"/>
    <w:rsid w:val="00570959"/>
    <w:rsid w:val="00572304"/>
    <w:rsid w:val="0057289F"/>
    <w:rsid w:val="005737F7"/>
    <w:rsid w:val="00573EA6"/>
    <w:rsid w:val="00573F9F"/>
    <w:rsid w:val="0057436F"/>
    <w:rsid w:val="00574DA3"/>
    <w:rsid w:val="00576321"/>
    <w:rsid w:val="00577F85"/>
    <w:rsid w:val="005816A7"/>
    <w:rsid w:val="005817F7"/>
    <w:rsid w:val="00582373"/>
    <w:rsid w:val="0058241E"/>
    <w:rsid w:val="005824CA"/>
    <w:rsid w:val="00583497"/>
    <w:rsid w:val="00584AEE"/>
    <w:rsid w:val="0058792F"/>
    <w:rsid w:val="00590FA0"/>
    <w:rsid w:val="00591AEA"/>
    <w:rsid w:val="00591B45"/>
    <w:rsid w:val="00591C3C"/>
    <w:rsid w:val="00592D02"/>
    <w:rsid w:val="005936B2"/>
    <w:rsid w:val="005954E6"/>
    <w:rsid w:val="005956FB"/>
    <w:rsid w:val="005962A5"/>
    <w:rsid w:val="0059697F"/>
    <w:rsid w:val="00596B7F"/>
    <w:rsid w:val="00597464"/>
    <w:rsid w:val="005A0588"/>
    <w:rsid w:val="005A184B"/>
    <w:rsid w:val="005A23BE"/>
    <w:rsid w:val="005A2DA9"/>
    <w:rsid w:val="005A3A3E"/>
    <w:rsid w:val="005A3FF9"/>
    <w:rsid w:val="005A4034"/>
    <w:rsid w:val="005A40B1"/>
    <w:rsid w:val="005A4EB5"/>
    <w:rsid w:val="005A5575"/>
    <w:rsid w:val="005A5DE6"/>
    <w:rsid w:val="005A6923"/>
    <w:rsid w:val="005A7DC3"/>
    <w:rsid w:val="005B023F"/>
    <w:rsid w:val="005B0704"/>
    <w:rsid w:val="005B22B1"/>
    <w:rsid w:val="005B2BB4"/>
    <w:rsid w:val="005B2BD1"/>
    <w:rsid w:val="005B5D47"/>
    <w:rsid w:val="005B5E5A"/>
    <w:rsid w:val="005B5ED2"/>
    <w:rsid w:val="005B65EE"/>
    <w:rsid w:val="005B7670"/>
    <w:rsid w:val="005B771E"/>
    <w:rsid w:val="005C02A4"/>
    <w:rsid w:val="005C0FE9"/>
    <w:rsid w:val="005C1400"/>
    <w:rsid w:val="005C44F9"/>
    <w:rsid w:val="005C4F54"/>
    <w:rsid w:val="005C68EC"/>
    <w:rsid w:val="005C6A1B"/>
    <w:rsid w:val="005C6AFA"/>
    <w:rsid w:val="005C7617"/>
    <w:rsid w:val="005C7864"/>
    <w:rsid w:val="005D0860"/>
    <w:rsid w:val="005D0B0B"/>
    <w:rsid w:val="005D15D9"/>
    <w:rsid w:val="005D1FEB"/>
    <w:rsid w:val="005D223C"/>
    <w:rsid w:val="005D39F8"/>
    <w:rsid w:val="005D499C"/>
    <w:rsid w:val="005D4FBC"/>
    <w:rsid w:val="005D57EB"/>
    <w:rsid w:val="005D5E94"/>
    <w:rsid w:val="005E077B"/>
    <w:rsid w:val="005E0D2E"/>
    <w:rsid w:val="005E39D8"/>
    <w:rsid w:val="005E42E5"/>
    <w:rsid w:val="005F0693"/>
    <w:rsid w:val="005F09A2"/>
    <w:rsid w:val="005F15D0"/>
    <w:rsid w:val="005F3741"/>
    <w:rsid w:val="005F3A58"/>
    <w:rsid w:val="005F3FDE"/>
    <w:rsid w:val="005F5973"/>
    <w:rsid w:val="005F67A6"/>
    <w:rsid w:val="00601323"/>
    <w:rsid w:val="00602445"/>
    <w:rsid w:val="006034AB"/>
    <w:rsid w:val="006036F3"/>
    <w:rsid w:val="00603A0A"/>
    <w:rsid w:val="00605288"/>
    <w:rsid w:val="006057AC"/>
    <w:rsid w:val="006058EC"/>
    <w:rsid w:val="00605AB6"/>
    <w:rsid w:val="00605BBF"/>
    <w:rsid w:val="0060719B"/>
    <w:rsid w:val="00607D79"/>
    <w:rsid w:val="006113B2"/>
    <w:rsid w:val="006128FB"/>
    <w:rsid w:val="00612EB0"/>
    <w:rsid w:val="006136FF"/>
    <w:rsid w:val="0061405B"/>
    <w:rsid w:val="00614329"/>
    <w:rsid w:val="00615949"/>
    <w:rsid w:val="0062026B"/>
    <w:rsid w:val="00621508"/>
    <w:rsid w:val="006215B0"/>
    <w:rsid w:val="00622180"/>
    <w:rsid w:val="00622EA3"/>
    <w:rsid w:val="00622FEB"/>
    <w:rsid w:val="0062301F"/>
    <w:rsid w:val="0062360B"/>
    <w:rsid w:val="00623D3A"/>
    <w:rsid w:val="00624AD5"/>
    <w:rsid w:val="00625397"/>
    <w:rsid w:val="00625843"/>
    <w:rsid w:val="006260B1"/>
    <w:rsid w:val="00627ED7"/>
    <w:rsid w:val="00627F8D"/>
    <w:rsid w:val="00630F85"/>
    <w:rsid w:val="00631D53"/>
    <w:rsid w:val="00631FCB"/>
    <w:rsid w:val="00636AE3"/>
    <w:rsid w:val="00636ECC"/>
    <w:rsid w:val="006404C3"/>
    <w:rsid w:val="00640C90"/>
    <w:rsid w:val="006418A3"/>
    <w:rsid w:val="0064230E"/>
    <w:rsid w:val="00642A5E"/>
    <w:rsid w:val="00642E25"/>
    <w:rsid w:val="00644301"/>
    <w:rsid w:val="00646F33"/>
    <w:rsid w:val="0064785A"/>
    <w:rsid w:val="006503F8"/>
    <w:rsid w:val="00650BCB"/>
    <w:rsid w:val="006510C7"/>
    <w:rsid w:val="00651389"/>
    <w:rsid w:val="00651538"/>
    <w:rsid w:val="00651C7F"/>
    <w:rsid w:val="00651F6A"/>
    <w:rsid w:val="0065228D"/>
    <w:rsid w:val="0065231F"/>
    <w:rsid w:val="00652396"/>
    <w:rsid w:val="00652588"/>
    <w:rsid w:val="00652C0B"/>
    <w:rsid w:val="00653515"/>
    <w:rsid w:val="0065370D"/>
    <w:rsid w:val="00662155"/>
    <w:rsid w:val="00662F86"/>
    <w:rsid w:val="0066325A"/>
    <w:rsid w:val="00665025"/>
    <w:rsid w:val="0066514F"/>
    <w:rsid w:val="0066564A"/>
    <w:rsid w:val="00665710"/>
    <w:rsid w:val="00665C6A"/>
    <w:rsid w:val="0066605B"/>
    <w:rsid w:val="00666F8D"/>
    <w:rsid w:val="006675DD"/>
    <w:rsid w:val="00670380"/>
    <w:rsid w:val="00670E73"/>
    <w:rsid w:val="0067348D"/>
    <w:rsid w:val="00673684"/>
    <w:rsid w:val="00673BC2"/>
    <w:rsid w:val="00673EE6"/>
    <w:rsid w:val="00674440"/>
    <w:rsid w:val="00674DD1"/>
    <w:rsid w:val="006753EB"/>
    <w:rsid w:val="006755C6"/>
    <w:rsid w:val="0067597F"/>
    <w:rsid w:val="00675FE1"/>
    <w:rsid w:val="006762EB"/>
    <w:rsid w:val="00676825"/>
    <w:rsid w:val="006809DA"/>
    <w:rsid w:val="00680F6D"/>
    <w:rsid w:val="0068161F"/>
    <w:rsid w:val="00681828"/>
    <w:rsid w:val="00681A0B"/>
    <w:rsid w:val="006829C2"/>
    <w:rsid w:val="00682D2E"/>
    <w:rsid w:val="00683DDA"/>
    <w:rsid w:val="0068412F"/>
    <w:rsid w:val="00684EA8"/>
    <w:rsid w:val="006856C8"/>
    <w:rsid w:val="00685DFC"/>
    <w:rsid w:val="00686203"/>
    <w:rsid w:val="00690563"/>
    <w:rsid w:val="00692071"/>
    <w:rsid w:val="00692B19"/>
    <w:rsid w:val="00692BE0"/>
    <w:rsid w:val="00692EDF"/>
    <w:rsid w:val="00693144"/>
    <w:rsid w:val="006946CA"/>
    <w:rsid w:val="006964F7"/>
    <w:rsid w:val="006972B9"/>
    <w:rsid w:val="006A2E28"/>
    <w:rsid w:val="006A3721"/>
    <w:rsid w:val="006A43FA"/>
    <w:rsid w:val="006A4D74"/>
    <w:rsid w:val="006A4E12"/>
    <w:rsid w:val="006A6092"/>
    <w:rsid w:val="006A6D75"/>
    <w:rsid w:val="006A6DE5"/>
    <w:rsid w:val="006A70BD"/>
    <w:rsid w:val="006B020F"/>
    <w:rsid w:val="006B291F"/>
    <w:rsid w:val="006B34F6"/>
    <w:rsid w:val="006B3FF8"/>
    <w:rsid w:val="006B5411"/>
    <w:rsid w:val="006B544B"/>
    <w:rsid w:val="006B6B7F"/>
    <w:rsid w:val="006C017E"/>
    <w:rsid w:val="006C11ED"/>
    <w:rsid w:val="006C2577"/>
    <w:rsid w:val="006C4103"/>
    <w:rsid w:val="006C551B"/>
    <w:rsid w:val="006C5D9A"/>
    <w:rsid w:val="006C5F2F"/>
    <w:rsid w:val="006C6280"/>
    <w:rsid w:val="006C6534"/>
    <w:rsid w:val="006C6B43"/>
    <w:rsid w:val="006C7AA4"/>
    <w:rsid w:val="006D0C68"/>
    <w:rsid w:val="006D0D4F"/>
    <w:rsid w:val="006D0DEB"/>
    <w:rsid w:val="006D0E0F"/>
    <w:rsid w:val="006D2677"/>
    <w:rsid w:val="006D2D4F"/>
    <w:rsid w:val="006D38C6"/>
    <w:rsid w:val="006D38D0"/>
    <w:rsid w:val="006D4202"/>
    <w:rsid w:val="006D4383"/>
    <w:rsid w:val="006D4735"/>
    <w:rsid w:val="006D6145"/>
    <w:rsid w:val="006D6218"/>
    <w:rsid w:val="006D656E"/>
    <w:rsid w:val="006D6877"/>
    <w:rsid w:val="006D6D09"/>
    <w:rsid w:val="006D7546"/>
    <w:rsid w:val="006D7C6E"/>
    <w:rsid w:val="006D7FA7"/>
    <w:rsid w:val="006E0A16"/>
    <w:rsid w:val="006E0EA3"/>
    <w:rsid w:val="006E1B49"/>
    <w:rsid w:val="006E25C3"/>
    <w:rsid w:val="006E42A8"/>
    <w:rsid w:val="006E4B2B"/>
    <w:rsid w:val="006E622F"/>
    <w:rsid w:val="006E67FE"/>
    <w:rsid w:val="006E7020"/>
    <w:rsid w:val="006F1502"/>
    <w:rsid w:val="006F1DF9"/>
    <w:rsid w:val="006F29BA"/>
    <w:rsid w:val="006F37BC"/>
    <w:rsid w:val="006F4B42"/>
    <w:rsid w:val="006F51F4"/>
    <w:rsid w:val="006F5B89"/>
    <w:rsid w:val="006F5C71"/>
    <w:rsid w:val="006F78A9"/>
    <w:rsid w:val="00703177"/>
    <w:rsid w:val="0070409E"/>
    <w:rsid w:val="007048EE"/>
    <w:rsid w:val="007076DB"/>
    <w:rsid w:val="0070799E"/>
    <w:rsid w:val="00707D9E"/>
    <w:rsid w:val="00710951"/>
    <w:rsid w:val="00712029"/>
    <w:rsid w:val="00712327"/>
    <w:rsid w:val="00713113"/>
    <w:rsid w:val="00713ABA"/>
    <w:rsid w:val="00714726"/>
    <w:rsid w:val="00715313"/>
    <w:rsid w:val="00715603"/>
    <w:rsid w:val="00715D44"/>
    <w:rsid w:val="00716F52"/>
    <w:rsid w:val="00721E53"/>
    <w:rsid w:val="007228D1"/>
    <w:rsid w:val="00723BD0"/>
    <w:rsid w:val="007243AE"/>
    <w:rsid w:val="00724688"/>
    <w:rsid w:val="007247C9"/>
    <w:rsid w:val="007261B8"/>
    <w:rsid w:val="007266AE"/>
    <w:rsid w:val="00727167"/>
    <w:rsid w:val="00727BE2"/>
    <w:rsid w:val="00730F3A"/>
    <w:rsid w:val="007316B9"/>
    <w:rsid w:val="007317C4"/>
    <w:rsid w:val="00731C59"/>
    <w:rsid w:val="00731E60"/>
    <w:rsid w:val="007328FE"/>
    <w:rsid w:val="007346CC"/>
    <w:rsid w:val="00736188"/>
    <w:rsid w:val="007362C9"/>
    <w:rsid w:val="00736CBD"/>
    <w:rsid w:val="00736D47"/>
    <w:rsid w:val="00737D3E"/>
    <w:rsid w:val="00737DCE"/>
    <w:rsid w:val="00743AFE"/>
    <w:rsid w:val="00743BCB"/>
    <w:rsid w:val="0074467C"/>
    <w:rsid w:val="00744FC0"/>
    <w:rsid w:val="007472BF"/>
    <w:rsid w:val="007472E2"/>
    <w:rsid w:val="0074734F"/>
    <w:rsid w:val="00750383"/>
    <w:rsid w:val="00750480"/>
    <w:rsid w:val="00750744"/>
    <w:rsid w:val="007513C7"/>
    <w:rsid w:val="0075154B"/>
    <w:rsid w:val="00751AD9"/>
    <w:rsid w:val="007526F6"/>
    <w:rsid w:val="00752980"/>
    <w:rsid w:val="0075463F"/>
    <w:rsid w:val="00754F36"/>
    <w:rsid w:val="007566E2"/>
    <w:rsid w:val="007568D4"/>
    <w:rsid w:val="00756C3E"/>
    <w:rsid w:val="00761BBE"/>
    <w:rsid w:val="00762D1E"/>
    <w:rsid w:val="00763354"/>
    <w:rsid w:val="007637BD"/>
    <w:rsid w:val="00763C02"/>
    <w:rsid w:val="00763F41"/>
    <w:rsid w:val="00764B5D"/>
    <w:rsid w:val="00765145"/>
    <w:rsid w:val="00765B08"/>
    <w:rsid w:val="00765F2F"/>
    <w:rsid w:val="00770F09"/>
    <w:rsid w:val="007716BB"/>
    <w:rsid w:val="00771AAD"/>
    <w:rsid w:val="00771F6D"/>
    <w:rsid w:val="007734F8"/>
    <w:rsid w:val="00774EDE"/>
    <w:rsid w:val="007763BA"/>
    <w:rsid w:val="007801DD"/>
    <w:rsid w:val="007814C6"/>
    <w:rsid w:val="0078434C"/>
    <w:rsid w:val="007847DC"/>
    <w:rsid w:val="0078593C"/>
    <w:rsid w:val="00785F0D"/>
    <w:rsid w:val="00786271"/>
    <w:rsid w:val="007868C8"/>
    <w:rsid w:val="00786B7B"/>
    <w:rsid w:val="00787D23"/>
    <w:rsid w:val="00790D0F"/>
    <w:rsid w:val="0079148E"/>
    <w:rsid w:val="00791E87"/>
    <w:rsid w:val="00792B2C"/>
    <w:rsid w:val="00792C27"/>
    <w:rsid w:val="00792D29"/>
    <w:rsid w:val="00792EC9"/>
    <w:rsid w:val="00793FB4"/>
    <w:rsid w:val="007941C4"/>
    <w:rsid w:val="007941D3"/>
    <w:rsid w:val="007A0BB2"/>
    <w:rsid w:val="007A0C8B"/>
    <w:rsid w:val="007A0EA1"/>
    <w:rsid w:val="007A1EE0"/>
    <w:rsid w:val="007A5B6A"/>
    <w:rsid w:val="007A7E1C"/>
    <w:rsid w:val="007B02CD"/>
    <w:rsid w:val="007B06D5"/>
    <w:rsid w:val="007B10C2"/>
    <w:rsid w:val="007B17B1"/>
    <w:rsid w:val="007B3178"/>
    <w:rsid w:val="007B400C"/>
    <w:rsid w:val="007B420C"/>
    <w:rsid w:val="007B42E6"/>
    <w:rsid w:val="007B4CC2"/>
    <w:rsid w:val="007B57DB"/>
    <w:rsid w:val="007B5C6D"/>
    <w:rsid w:val="007B6CFA"/>
    <w:rsid w:val="007B6E1D"/>
    <w:rsid w:val="007B7A09"/>
    <w:rsid w:val="007C11CD"/>
    <w:rsid w:val="007C15EA"/>
    <w:rsid w:val="007C28A3"/>
    <w:rsid w:val="007C4DA6"/>
    <w:rsid w:val="007C588F"/>
    <w:rsid w:val="007C733D"/>
    <w:rsid w:val="007D01A0"/>
    <w:rsid w:val="007D027D"/>
    <w:rsid w:val="007D0460"/>
    <w:rsid w:val="007D17CA"/>
    <w:rsid w:val="007D26B1"/>
    <w:rsid w:val="007D33EA"/>
    <w:rsid w:val="007D351C"/>
    <w:rsid w:val="007D3D30"/>
    <w:rsid w:val="007D57FC"/>
    <w:rsid w:val="007D60A9"/>
    <w:rsid w:val="007D64E3"/>
    <w:rsid w:val="007D6AD0"/>
    <w:rsid w:val="007D6AF2"/>
    <w:rsid w:val="007D7497"/>
    <w:rsid w:val="007D7EDE"/>
    <w:rsid w:val="007D7FAC"/>
    <w:rsid w:val="007E0E85"/>
    <w:rsid w:val="007E15F0"/>
    <w:rsid w:val="007E1FEE"/>
    <w:rsid w:val="007E275D"/>
    <w:rsid w:val="007E34B4"/>
    <w:rsid w:val="007E3A7B"/>
    <w:rsid w:val="007E6398"/>
    <w:rsid w:val="007E762B"/>
    <w:rsid w:val="007E7A81"/>
    <w:rsid w:val="007F12DD"/>
    <w:rsid w:val="007F13C4"/>
    <w:rsid w:val="007F3603"/>
    <w:rsid w:val="007F3A94"/>
    <w:rsid w:val="007F511E"/>
    <w:rsid w:val="007F5AAA"/>
    <w:rsid w:val="007F5FEC"/>
    <w:rsid w:val="007F694A"/>
    <w:rsid w:val="007F6AE3"/>
    <w:rsid w:val="007F72AA"/>
    <w:rsid w:val="00800920"/>
    <w:rsid w:val="00800D84"/>
    <w:rsid w:val="00801B3F"/>
    <w:rsid w:val="008024E9"/>
    <w:rsid w:val="00802B5D"/>
    <w:rsid w:val="008055E4"/>
    <w:rsid w:val="00805689"/>
    <w:rsid w:val="00806774"/>
    <w:rsid w:val="00807394"/>
    <w:rsid w:val="00807F5C"/>
    <w:rsid w:val="00810E3E"/>
    <w:rsid w:val="00811530"/>
    <w:rsid w:val="0081188A"/>
    <w:rsid w:val="00811896"/>
    <w:rsid w:val="00813435"/>
    <w:rsid w:val="00814038"/>
    <w:rsid w:val="0081483D"/>
    <w:rsid w:val="00814F99"/>
    <w:rsid w:val="00816368"/>
    <w:rsid w:val="00817FE4"/>
    <w:rsid w:val="008213AA"/>
    <w:rsid w:val="00821998"/>
    <w:rsid w:val="00822304"/>
    <w:rsid w:val="00823258"/>
    <w:rsid w:val="00823AA8"/>
    <w:rsid w:val="00824093"/>
    <w:rsid w:val="0082467D"/>
    <w:rsid w:val="00825132"/>
    <w:rsid w:val="00825785"/>
    <w:rsid w:val="00825C70"/>
    <w:rsid w:val="00827AFF"/>
    <w:rsid w:val="00830357"/>
    <w:rsid w:val="008306F0"/>
    <w:rsid w:val="008309E6"/>
    <w:rsid w:val="00831522"/>
    <w:rsid w:val="00831E06"/>
    <w:rsid w:val="008329DB"/>
    <w:rsid w:val="008332F7"/>
    <w:rsid w:val="00833F5E"/>
    <w:rsid w:val="00834075"/>
    <w:rsid w:val="0083613B"/>
    <w:rsid w:val="008361EA"/>
    <w:rsid w:val="008362E8"/>
    <w:rsid w:val="0083781A"/>
    <w:rsid w:val="00837ECC"/>
    <w:rsid w:val="00840A59"/>
    <w:rsid w:val="00841921"/>
    <w:rsid w:val="00842E87"/>
    <w:rsid w:val="0084415C"/>
    <w:rsid w:val="00844743"/>
    <w:rsid w:val="00844BA2"/>
    <w:rsid w:val="00845866"/>
    <w:rsid w:val="00845894"/>
    <w:rsid w:val="00845E9B"/>
    <w:rsid w:val="00847A4D"/>
    <w:rsid w:val="0085049D"/>
    <w:rsid w:val="00850CAC"/>
    <w:rsid w:val="008522E6"/>
    <w:rsid w:val="00852330"/>
    <w:rsid w:val="0085253F"/>
    <w:rsid w:val="008525C3"/>
    <w:rsid w:val="00852F76"/>
    <w:rsid w:val="00853E32"/>
    <w:rsid w:val="00860F6A"/>
    <w:rsid w:val="008634F5"/>
    <w:rsid w:val="00863A9B"/>
    <w:rsid w:val="00866D3C"/>
    <w:rsid w:val="00866EF6"/>
    <w:rsid w:val="008702EA"/>
    <w:rsid w:val="0087032A"/>
    <w:rsid w:val="008715E2"/>
    <w:rsid w:val="0087192B"/>
    <w:rsid w:val="00872463"/>
    <w:rsid w:val="00872E5B"/>
    <w:rsid w:val="008755FE"/>
    <w:rsid w:val="00875B4A"/>
    <w:rsid w:val="00876C6F"/>
    <w:rsid w:val="00876ED9"/>
    <w:rsid w:val="008779A7"/>
    <w:rsid w:val="00880A4D"/>
    <w:rsid w:val="00880C62"/>
    <w:rsid w:val="008813EE"/>
    <w:rsid w:val="008816C0"/>
    <w:rsid w:val="00881B3C"/>
    <w:rsid w:val="00882D37"/>
    <w:rsid w:val="008838DC"/>
    <w:rsid w:val="00885F11"/>
    <w:rsid w:val="00886C85"/>
    <w:rsid w:val="00886D57"/>
    <w:rsid w:val="00887D44"/>
    <w:rsid w:val="00887F94"/>
    <w:rsid w:val="00890825"/>
    <w:rsid w:val="00890889"/>
    <w:rsid w:val="00890D50"/>
    <w:rsid w:val="008920DD"/>
    <w:rsid w:val="00892948"/>
    <w:rsid w:val="00893A2F"/>
    <w:rsid w:val="008948B3"/>
    <w:rsid w:val="0089586E"/>
    <w:rsid w:val="00896195"/>
    <w:rsid w:val="00897DFB"/>
    <w:rsid w:val="00897F98"/>
    <w:rsid w:val="008A0EFD"/>
    <w:rsid w:val="008A0EFF"/>
    <w:rsid w:val="008A11C8"/>
    <w:rsid w:val="008A2304"/>
    <w:rsid w:val="008A298D"/>
    <w:rsid w:val="008A2A93"/>
    <w:rsid w:val="008A3618"/>
    <w:rsid w:val="008A5103"/>
    <w:rsid w:val="008B037F"/>
    <w:rsid w:val="008B113D"/>
    <w:rsid w:val="008B215E"/>
    <w:rsid w:val="008B219F"/>
    <w:rsid w:val="008B39FD"/>
    <w:rsid w:val="008B448B"/>
    <w:rsid w:val="008B4E08"/>
    <w:rsid w:val="008B58A5"/>
    <w:rsid w:val="008B657F"/>
    <w:rsid w:val="008B750A"/>
    <w:rsid w:val="008B7873"/>
    <w:rsid w:val="008C26EF"/>
    <w:rsid w:val="008C3C17"/>
    <w:rsid w:val="008C4B0E"/>
    <w:rsid w:val="008C4BFD"/>
    <w:rsid w:val="008C52CF"/>
    <w:rsid w:val="008C6759"/>
    <w:rsid w:val="008C6EB4"/>
    <w:rsid w:val="008C7282"/>
    <w:rsid w:val="008C744A"/>
    <w:rsid w:val="008C789D"/>
    <w:rsid w:val="008C7E1F"/>
    <w:rsid w:val="008D0A1E"/>
    <w:rsid w:val="008D13EC"/>
    <w:rsid w:val="008D2553"/>
    <w:rsid w:val="008D2609"/>
    <w:rsid w:val="008D262D"/>
    <w:rsid w:val="008D3D41"/>
    <w:rsid w:val="008D3ED7"/>
    <w:rsid w:val="008D5CCA"/>
    <w:rsid w:val="008D61E4"/>
    <w:rsid w:val="008D79E4"/>
    <w:rsid w:val="008D7E13"/>
    <w:rsid w:val="008E0DF7"/>
    <w:rsid w:val="008E261D"/>
    <w:rsid w:val="008E2E4D"/>
    <w:rsid w:val="008E35E1"/>
    <w:rsid w:val="008E368B"/>
    <w:rsid w:val="008E40A3"/>
    <w:rsid w:val="008E4188"/>
    <w:rsid w:val="008E5BA4"/>
    <w:rsid w:val="008E6C44"/>
    <w:rsid w:val="008E7244"/>
    <w:rsid w:val="008E7833"/>
    <w:rsid w:val="008E7B22"/>
    <w:rsid w:val="008F0EB6"/>
    <w:rsid w:val="008F1257"/>
    <w:rsid w:val="008F1342"/>
    <w:rsid w:val="008F3049"/>
    <w:rsid w:val="008F3C47"/>
    <w:rsid w:val="008F4703"/>
    <w:rsid w:val="008F5576"/>
    <w:rsid w:val="008F7AC2"/>
    <w:rsid w:val="008F7BAC"/>
    <w:rsid w:val="009000F4"/>
    <w:rsid w:val="009008D5"/>
    <w:rsid w:val="009014A0"/>
    <w:rsid w:val="009022C1"/>
    <w:rsid w:val="00902E9D"/>
    <w:rsid w:val="00904BB3"/>
    <w:rsid w:val="00906C38"/>
    <w:rsid w:val="009077D7"/>
    <w:rsid w:val="0091029C"/>
    <w:rsid w:val="0091042A"/>
    <w:rsid w:val="00910434"/>
    <w:rsid w:val="009108DC"/>
    <w:rsid w:val="00910A90"/>
    <w:rsid w:val="009116B4"/>
    <w:rsid w:val="00912115"/>
    <w:rsid w:val="0091231C"/>
    <w:rsid w:val="00912384"/>
    <w:rsid w:val="00914D13"/>
    <w:rsid w:val="00915132"/>
    <w:rsid w:val="00915282"/>
    <w:rsid w:val="009172F5"/>
    <w:rsid w:val="00917DB9"/>
    <w:rsid w:val="00920E91"/>
    <w:rsid w:val="00921324"/>
    <w:rsid w:val="00921988"/>
    <w:rsid w:val="00922A3C"/>
    <w:rsid w:val="00922E02"/>
    <w:rsid w:val="009233F8"/>
    <w:rsid w:val="00923744"/>
    <w:rsid w:val="00924C95"/>
    <w:rsid w:val="00925254"/>
    <w:rsid w:val="00926D5D"/>
    <w:rsid w:val="00927671"/>
    <w:rsid w:val="009279C5"/>
    <w:rsid w:val="00927CBF"/>
    <w:rsid w:val="009316E6"/>
    <w:rsid w:val="00931EE3"/>
    <w:rsid w:val="0093345D"/>
    <w:rsid w:val="00934759"/>
    <w:rsid w:val="009349B2"/>
    <w:rsid w:val="00934C36"/>
    <w:rsid w:val="00936436"/>
    <w:rsid w:val="00936F4C"/>
    <w:rsid w:val="00940C7E"/>
    <w:rsid w:val="0094352D"/>
    <w:rsid w:val="0094388C"/>
    <w:rsid w:val="00944882"/>
    <w:rsid w:val="00944FC0"/>
    <w:rsid w:val="00945A36"/>
    <w:rsid w:val="009504FF"/>
    <w:rsid w:val="00951A38"/>
    <w:rsid w:val="009524E4"/>
    <w:rsid w:val="00953048"/>
    <w:rsid w:val="00954E9B"/>
    <w:rsid w:val="00955BBA"/>
    <w:rsid w:val="00956EC0"/>
    <w:rsid w:val="009575FA"/>
    <w:rsid w:val="00957DE8"/>
    <w:rsid w:val="0096013C"/>
    <w:rsid w:val="009622A1"/>
    <w:rsid w:val="00962363"/>
    <w:rsid w:val="00962614"/>
    <w:rsid w:val="00962BD2"/>
    <w:rsid w:val="00964026"/>
    <w:rsid w:val="00964821"/>
    <w:rsid w:val="009655B0"/>
    <w:rsid w:val="00965736"/>
    <w:rsid w:val="00967D1D"/>
    <w:rsid w:val="00970BFD"/>
    <w:rsid w:val="00972685"/>
    <w:rsid w:val="00972B1E"/>
    <w:rsid w:val="00973533"/>
    <w:rsid w:val="009737EC"/>
    <w:rsid w:val="00973994"/>
    <w:rsid w:val="00974234"/>
    <w:rsid w:val="009745B3"/>
    <w:rsid w:val="00974A37"/>
    <w:rsid w:val="00975405"/>
    <w:rsid w:val="009754F8"/>
    <w:rsid w:val="0097706C"/>
    <w:rsid w:val="00977468"/>
    <w:rsid w:val="00977832"/>
    <w:rsid w:val="00982958"/>
    <w:rsid w:val="00982FD1"/>
    <w:rsid w:val="00983789"/>
    <w:rsid w:val="0098407A"/>
    <w:rsid w:val="009845B6"/>
    <w:rsid w:val="00984D36"/>
    <w:rsid w:val="0098507F"/>
    <w:rsid w:val="00985E09"/>
    <w:rsid w:val="00990456"/>
    <w:rsid w:val="00990B9B"/>
    <w:rsid w:val="00991CF8"/>
    <w:rsid w:val="00992A63"/>
    <w:rsid w:val="009939D0"/>
    <w:rsid w:val="00994CE6"/>
    <w:rsid w:val="00995791"/>
    <w:rsid w:val="0099623E"/>
    <w:rsid w:val="009963B7"/>
    <w:rsid w:val="009A0024"/>
    <w:rsid w:val="009A067F"/>
    <w:rsid w:val="009A12EA"/>
    <w:rsid w:val="009A1AE9"/>
    <w:rsid w:val="009A2DA3"/>
    <w:rsid w:val="009A49E3"/>
    <w:rsid w:val="009A5AE5"/>
    <w:rsid w:val="009A64F9"/>
    <w:rsid w:val="009A6516"/>
    <w:rsid w:val="009A6E0A"/>
    <w:rsid w:val="009B0498"/>
    <w:rsid w:val="009B0FDF"/>
    <w:rsid w:val="009B125C"/>
    <w:rsid w:val="009B1E86"/>
    <w:rsid w:val="009B2C9B"/>
    <w:rsid w:val="009B2E74"/>
    <w:rsid w:val="009B2FAF"/>
    <w:rsid w:val="009B3640"/>
    <w:rsid w:val="009B4647"/>
    <w:rsid w:val="009B4817"/>
    <w:rsid w:val="009B52EC"/>
    <w:rsid w:val="009B53F8"/>
    <w:rsid w:val="009B5524"/>
    <w:rsid w:val="009B6B09"/>
    <w:rsid w:val="009C0DE9"/>
    <w:rsid w:val="009C15DE"/>
    <w:rsid w:val="009C1754"/>
    <w:rsid w:val="009C1C58"/>
    <w:rsid w:val="009C3A59"/>
    <w:rsid w:val="009C4EB6"/>
    <w:rsid w:val="009C619D"/>
    <w:rsid w:val="009C67B8"/>
    <w:rsid w:val="009C78F4"/>
    <w:rsid w:val="009C7A31"/>
    <w:rsid w:val="009D19DE"/>
    <w:rsid w:val="009D1EFB"/>
    <w:rsid w:val="009D3F2F"/>
    <w:rsid w:val="009D6147"/>
    <w:rsid w:val="009D63BC"/>
    <w:rsid w:val="009D7361"/>
    <w:rsid w:val="009D74AD"/>
    <w:rsid w:val="009D77E1"/>
    <w:rsid w:val="009D7C26"/>
    <w:rsid w:val="009E211D"/>
    <w:rsid w:val="009E3B51"/>
    <w:rsid w:val="009E4851"/>
    <w:rsid w:val="009E66DB"/>
    <w:rsid w:val="009E68AC"/>
    <w:rsid w:val="009E6E33"/>
    <w:rsid w:val="009E7791"/>
    <w:rsid w:val="009E7CEA"/>
    <w:rsid w:val="009F08CD"/>
    <w:rsid w:val="009F17D3"/>
    <w:rsid w:val="009F31DE"/>
    <w:rsid w:val="009F442C"/>
    <w:rsid w:val="009F50EF"/>
    <w:rsid w:val="009F7711"/>
    <w:rsid w:val="009F7C09"/>
    <w:rsid w:val="00A001EA"/>
    <w:rsid w:val="00A01184"/>
    <w:rsid w:val="00A01806"/>
    <w:rsid w:val="00A0251E"/>
    <w:rsid w:val="00A03AE8"/>
    <w:rsid w:val="00A05797"/>
    <w:rsid w:val="00A07E98"/>
    <w:rsid w:val="00A07FFB"/>
    <w:rsid w:val="00A1150D"/>
    <w:rsid w:val="00A1251A"/>
    <w:rsid w:val="00A12702"/>
    <w:rsid w:val="00A13E12"/>
    <w:rsid w:val="00A14813"/>
    <w:rsid w:val="00A157AB"/>
    <w:rsid w:val="00A162A4"/>
    <w:rsid w:val="00A1643A"/>
    <w:rsid w:val="00A175F7"/>
    <w:rsid w:val="00A203FA"/>
    <w:rsid w:val="00A2054D"/>
    <w:rsid w:val="00A216F4"/>
    <w:rsid w:val="00A22C66"/>
    <w:rsid w:val="00A22FEB"/>
    <w:rsid w:val="00A2376C"/>
    <w:rsid w:val="00A23800"/>
    <w:rsid w:val="00A23823"/>
    <w:rsid w:val="00A259AE"/>
    <w:rsid w:val="00A25E85"/>
    <w:rsid w:val="00A27D5B"/>
    <w:rsid w:val="00A27FCA"/>
    <w:rsid w:val="00A304D8"/>
    <w:rsid w:val="00A30702"/>
    <w:rsid w:val="00A30B6E"/>
    <w:rsid w:val="00A31B74"/>
    <w:rsid w:val="00A31EC0"/>
    <w:rsid w:val="00A325A9"/>
    <w:rsid w:val="00A34D96"/>
    <w:rsid w:val="00A3500B"/>
    <w:rsid w:val="00A3554A"/>
    <w:rsid w:val="00A36317"/>
    <w:rsid w:val="00A370F9"/>
    <w:rsid w:val="00A377AB"/>
    <w:rsid w:val="00A378E9"/>
    <w:rsid w:val="00A37934"/>
    <w:rsid w:val="00A4018E"/>
    <w:rsid w:val="00A4046A"/>
    <w:rsid w:val="00A419ED"/>
    <w:rsid w:val="00A446B7"/>
    <w:rsid w:val="00A4474E"/>
    <w:rsid w:val="00A45C14"/>
    <w:rsid w:val="00A46466"/>
    <w:rsid w:val="00A4686F"/>
    <w:rsid w:val="00A4726B"/>
    <w:rsid w:val="00A5017C"/>
    <w:rsid w:val="00A509A6"/>
    <w:rsid w:val="00A50BF7"/>
    <w:rsid w:val="00A5111B"/>
    <w:rsid w:val="00A51423"/>
    <w:rsid w:val="00A521EF"/>
    <w:rsid w:val="00A526AF"/>
    <w:rsid w:val="00A53D39"/>
    <w:rsid w:val="00A53F5C"/>
    <w:rsid w:val="00A541EB"/>
    <w:rsid w:val="00A543D0"/>
    <w:rsid w:val="00A54714"/>
    <w:rsid w:val="00A56070"/>
    <w:rsid w:val="00A56D38"/>
    <w:rsid w:val="00A570D2"/>
    <w:rsid w:val="00A60D91"/>
    <w:rsid w:val="00A61898"/>
    <w:rsid w:val="00A61E7B"/>
    <w:rsid w:val="00A628CC"/>
    <w:rsid w:val="00A63B8D"/>
    <w:rsid w:val="00A63C4C"/>
    <w:rsid w:val="00A63C68"/>
    <w:rsid w:val="00A64D7F"/>
    <w:rsid w:val="00A662A3"/>
    <w:rsid w:val="00A66F08"/>
    <w:rsid w:val="00A71E35"/>
    <w:rsid w:val="00A73285"/>
    <w:rsid w:val="00A754E9"/>
    <w:rsid w:val="00A75B83"/>
    <w:rsid w:val="00A7603C"/>
    <w:rsid w:val="00A802A0"/>
    <w:rsid w:val="00A80311"/>
    <w:rsid w:val="00A80498"/>
    <w:rsid w:val="00A80BBC"/>
    <w:rsid w:val="00A82C1E"/>
    <w:rsid w:val="00A840A6"/>
    <w:rsid w:val="00A848AA"/>
    <w:rsid w:val="00A854D5"/>
    <w:rsid w:val="00A85EAE"/>
    <w:rsid w:val="00A87459"/>
    <w:rsid w:val="00A87711"/>
    <w:rsid w:val="00A917BC"/>
    <w:rsid w:val="00A94BBB"/>
    <w:rsid w:val="00A95523"/>
    <w:rsid w:val="00A963D9"/>
    <w:rsid w:val="00A9652C"/>
    <w:rsid w:val="00A96D57"/>
    <w:rsid w:val="00A97848"/>
    <w:rsid w:val="00A97C16"/>
    <w:rsid w:val="00AA0167"/>
    <w:rsid w:val="00AA0381"/>
    <w:rsid w:val="00AA03E4"/>
    <w:rsid w:val="00AA09B5"/>
    <w:rsid w:val="00AA119C"/>
    <w:rsid w:val="00AA2510"/>
    <w:rsid w:val="00AA2808"/>
    <w:rsid w:val="00AA39BF"/>
    <w:rsid w:val="00AA3A11"/>
    <w:rsid w:val="00AA4EF5"/>
    <w:rsid w:val="00AA5A74"/>
    <w:rsid w:val="00AA67AB"/>
    <w:rsid w:val="00AA775B"/>
    <w:rsid w:val="00AB0E98"/>
    <w:rsid w:val="00AB1C44"/>
    <w:rsid w:val="00AB2108"/>
    <w:rsid w:val="00AB241E"/>
    <w:rsid w:val="00AB3477"/>
    <w:rsid w:val="00AB3F4B"/>
    <w:rsid w:val="00AB4341"/>
    <w:rsid w:val="00AB53CD"/>
    <w:rsid w:val="00AB5F0D"/>
    <w:rsid w:val="00AC0D26"/>
    <w:rsid w:val="00AC1C73"/>
    <w:rsid w:val="00AC30FA"/>
    <w:rsid w:val="00AC3175"/>
    <w:rsid w:val="00AC48FD"/>
    <w:rsid w:val="00AC4B0D"/>
    <w:rsid w:val="00AC6344"/>
    <w:rsid w:val="00AD1DBC"/>
    <w:rsid w:val="00AD3786"/>
    <w:rsid w:val="00AD3B13"/>
    <w:rsid w:val="00AD3ECE"/>
    <w:rsid w:val="00AD4388"/>
    <w:rsid w:val="00AD46C5"/>
    <w:rsid w:val="00AD5410"/>
    <w:rsid w:val="00AD6D52"/>
    <w:rsid w:val="00AD710F"/>
    <w:rsid w:val="00AE166A"/>
    <w:rsid w:val="00AE4172"/>
    <w:rsid w:val="00AE47D5"/>
    <w:rsid w:val="00AE5694"/>
    <w:rsid w:val="00AE6422"/>
    <w:rsid w:val="00AE706B"/>
    <w:rsid w:val="00AE78CD"/>
    <w:rsid w:val="00AE7B10"/>
    <w:rsid w:val="00AF02D7"/>
    <w:rsid w:val="00AF0A80"/>
    <w:rsid w:val="00AF194D"/>
    <w:rsid w:val="00AF1CD9"/>
    <w:rsid w:val="00AF245B"/>
    <w:rsid w:val="00AF262A"/>
    <w:rsid w:val="00AF355F"/>
    <w:rsid w:val="00AF36A9"/>
    <w:rsid w:val="00AF4B5A"/>
    <w:rsid w:val="00AF5362"/>
    <w:rsid w:val="00AF54D1"/>
    <w:rsid w:val="00AF587A"/>
    <w:rsid w:val="00AF5D54"/>
    <w:rsid w:val="00AF60C9"/>
    <w:rsid w:val="00AF6995"/>
    <w:rsid w:val="00AF6AA5"/>
    <w:rsid w:val="00AF7851"/>
    <w:rsid w:val="00B00D15"/>
    <w:rsid w:val="00B00FF2"/>
    <w:rsid w:val="00B0188B"/>
    <w:rsid w:val="00B0269E"/>
    <w:rsid w:val="00B02E2E"/>
    <w:rsid w:val="00B03F29"/>
    <w:rsid w:val="00B04F62"/>
    <w:rsid w:val="00B051F9"/>
    <w:rsid w:val="00B06491"/>
    <w:rsid w:val="00B06DFC"/>
    <w:rsid w:val="00B0786D"/>
    <w:rsid w:val="00B10A56"/>
    <w:rsid w:val="00B119C0"/>
    <w:rsid w:val="00B11CAB"/>
    <w:rsid w:val="00B13EE2"/>
    <w:rsid w:val="00B14629"/>
    <w:rsid w:val="00B1484D"/>
    <w:rsid w:val="00B16357"/>
    <w:rsid w:val="00B16C2B"/>
    <w:rsid w:val="00B20FC8"/>
    <w:rsid w:val="00B21452"/>
    <w:rsid w:val="00B22403"/>
    <w:rsid w:val="00B2367B"/>
    <w:rsid w:val="00B239A2"/>
    <w:rsid w:val="00B2473B"/>
    <w:rsid w:val="00B25581"/>
    <w:rsid w:val="00B26A46"/>
    <w:rsid w:val="00B27E36"/>
    <w:rsid w:val="00B27F32"/>
    <w:rsid w:val="00B300DA"/>
    <w:rsid w:val="00B30279"/>
    <w:rsid w:val="00B302AB"/>
    <w:rsid w:val="00B30715"/>
    <w:rsid w:val="00B30AB0"/>
    <w:rsid w:val="00B3138B"/>
    <w:rsid w:val="00B318D9"/>
    <w:rsid w:val="00B31DEC"/>
    <w:rsid w:val="00B327FF"/>
    <w:rsid w:val="00B32A67"/>
    <w:rsid w:val="00B34995"/>
    <w:rsid w:val="00B34F2E"/>
    <w:rsid w:val="00B34F7D"/>
    <w:rsid w:val="00B36509"/>
    <w:rsid w:val="00B36E61"/>
    <w:rsid w:val="00B3726E"/>
    <w:rsid w:val="00B3759B"/>
    <w:rsid w:val="00B379E0"/>
    <w:rsid w:val="00B37ABA"/>
    <w:rsid w:val="00B40ACE"/>
    <w:rsid w:val="00B4119D"/>
    <w:rsid w:val="00B41CB7"/>
    <w:rsid w:val="00B42391"/>
    <w:rsid w:val="00B426B8"/>
    <w:rsid w:val="00B42BE2"/>
    <w:rsid w:val="00B4367C"/>
    <w:rsid w:val="00B43F8A"/>
    <w:rsid w:val="00B466DA"/>
    <w:rsid w:val="00B468DC"/>
    <w:rsid w:val="00B4708D"/>
    <w:rsid w:val="00B47814"/>
    <w:rsid w:val="00B478F4"/>
    <w:rsid w:val="00B47E19"/>
    <w:rsid w:val="00B50249"/>
    <w:rsid w:val="00B5145F"/>
    <w:rsid w:val="00B52008"/>
    <w:rsid w:val="00B52B2B"/>
    <w:rsid w:val="00B53C49"/>
    <w:rsid w:val="00B53E96"/>
    <w:rsid w:val="00B54FEC"/>
    <w:rsid w:val="00B55523"/>
    <w:rsid w:val="00B55BAF"/>
    <w:rsid w:val="00B55E30"/>
    <w:rsid w:val="00B56804"/>
    <w:rsid w:val="00B56979"/>
    <w:rsid w:val="00B575B9"/>
    <w:rsid w:val="00B577CA"/>
    <w:rsid w:val="00B57C4D"/>
    <w:rsid w:val="00B60595"/>
    <w:rsid w:val="00B6290F"/>
    <w:rsid w:val="00B63733"/>
    <w:rsid w:val="00B637C0"/>
    <w:rsid w:val="00B63AFA"/>
    <w:rsid w:val="00B63D27"/>
    <w:rsid w:val="00B64987"/>
    <w:rsid w:val="00B64F57"/>
    <w:rsid w:val="00B65A59"/>
    <w:rsid w:val="00B664E4"/>
    <w:rsid w:val="00B66EA7"/>
    <w:rsid w:val="00B6741B"/>
    <w:rsid w:val="00B6771F"/>
    <w:rsid w:val="00B67D7B"/>
    <w:rsid w:val="00B67F4F"/>
    <w:rsid w:val="00B70FBF"/>
    <w:rsid w:val="00B710A5"/>
    <w:rsid w:val="00B7115C"/>
    <w:rsid w:val="00B716A0"/>
    <w:rsid w:val="00B721FA"/>
    <w:rsid w:val="00B72F17"/>
    <w:rsid w:val="00B7335A"/>
    <w:rsid w:val="00B73C52"/>
    <w:rsid w:val="00B746F9"/>
    <w:rsid w:val="00B75182"/>
    <w:rsid w:val="00B7580D"/>
    <w:rsid w:val="00B75B0F"/>
    <w:rsid w:val="00B7763C"/>
    <w:rsid w:val="00B80005"/>
    <w:rsid w:val="00B818ED"/>
    <w:rsid w:val="00B82DF7"/>
    <w:rsid w:val="00B84999"/>
    <w:rsid w:val="00B84D36"/>
    <w:rsid w:val="00B8558E"/>
    <w:rsid w:val="00B86238"/>
    <w:rsid w:val="00B865EC"/>
    <w:rsid w:val="00B8665D"/>
    <w:rsid w:val="00B925BA"/>
    <w:rsid w:val="00B92820"/>
    <w:rsid w:val="00B93529"/>
    <w:rsid w:val="00B93FC4"/>
    <w:rsid w:val="00B9509B"/>
    <w:rsid w:val="00B96C1E"/>
    <w:rsid w:val="00B97AE7"/>
    <w:rsid w:val="00B97CB5"/>
    <w:rsid w:val="00BA0B7C"/>
    <w:rsid w:val="00BA0C0C"/>
    <w:rsid w:val="00BA0F8C"/>
    <w:rsid w:val="00BA0FEA"/>
    <w:rsid w:val="00BA1786"/>
    <w:rsid w:val="00BA1DD2"/>
    <w:rsid w:val="00BA22F1"/>
    <w:rsid w:val="00BA283B"/>
    <w:rsid w:val="00BA2BE4"/>
    <w:rsid w:val="00BA2D9C"/>
    <w:rsid w:val="00BA38D9"/>
    <w:rsid w:val="00BA3F44"/>
    <w:rsid w:val="00BA5143"/>
    <w:rsid w:val="00BA6042"/>
    <w:rsid w:val="00BA7238"/>
    <w:rsid w:val="00BB16D9"/>
    <w:rsid w:val="00BB176C"/>
    <w:rsid w:val="00BB19D3"/>
    <w:rsid w:val="00BB232A"/>
    <w:rsid w:val="00BB26B2"/>
    <w:rsid w:val="00BB28EB"/>
    <w:rsid w:val="00BB2C78"/>
    <w:rsid w:val="00BB37A7"/>
    <w:rsid w:val="00BB398A"/>
    <w:rsid w:val="00BB5B99"/>
    <w:rsid w:val="00BC0715"/>
    <w:rsid w:val="00BC1590"/>
    <w:rsid w:val="00BC1DF2"/>
    <w:rsid w:val="00BC27BA"/>
    <w:rsid w:val="00BC369E"/>
    <w:rsid w:val="00BC6099"/>
    <w:rsid w:val="00BC610D"/>
    <w:rsid w:val="00BC78C4"/>
    <w:rsid w:val="00BC7FFD"/>
    <w:rsid w:val="00BD15D8"/>
    <w:rsid w:val="00BD2465"/>
    <w:rsid w:val="00BD2DD8"/>
    <w:rsid w:val="00BD44F3"/>
    <w:rsid w:val="00BD619C"/>
    <w:rsid w:val="00BD6C4D"/>
    <w:rsid w:val="00BD7DFA"/>
    <w:rsid w:val="00BD7E4B"/>
    <w:rsid w:val="00BE1076"/>
    <w:rsid w:val="00BE2B86"/>
    <w:rsid w:val="00BE3CAA"/>
    <w:rsid w:val="00BE49DC"/>
    <w:rsid w:val="00BE581F"/>
    <w:rsid w:val="00BE672B"/>
    <w:rsid w:val="00BE7E61"/>
    <w:rsid w:val="00BF1D4D"/>
    <w:rsid w:val="00BF2DEE"/>
    <w:rsid w:val="00BF35BE"/>
    <w:rsid w:val="00BF3799"/>
    <w:rsid w:val="00BF3AF0"/>
    <w:rsid w:val="00BF5285"/>
    <w:rsid w:val="00BF5C16"/>
    <w:rsid w:val="00BF610D"/>
    <w:rsid w:val="00BF683A"/>
    <w:rsid w:val="00C004ED"/>
    <w:rsid w:val="00C008C2"/>
    <w:rsid w:val="00C00A39"/>
    <w:rsid w:val="00C01070"/>
    <w:rsid w:val="00C01397"/>
    <w:rsid w:val="00C015F6"/>
    <w:rsid w:val="00C01D97"/>
    <w:rsid w:val="00C02212"/>
    <w:rsid w:val="00C04ACD"/>
    <w:rsid w:val="00C04D0B"/>
    <w:rsid w:val="00C04D2F"/>
    <w:rsid w:val="00C0538D"/>
    <w:rsid w:val="00C05AA8"/>
    <w:rsid w:val="00C05B1B"/>
    <w:rsid w:val="00C06431"/>
    <w:rsid w:val="00C064D0"/>
    <w:rsid w:val="00C06CAA"/>
    <w:rsid w:val="00C0709B"/>
    <w:rsid w:val="00C073AD"/>
    <w:rsid w:val="00C0763D"/>
    <w:rsid w:val="00C07E88"/>
    <w:rsid w:val="00C11764"/>
    <w:rsid w:val="00C12274"/>
    <w:rsid w:val="00C13240"/>
    <w:rsid w:val="00C13F8F"/>
    <w:rsid w:val="00C14606"/>
    <w:rsid w:val="00C14D4B"/>
    <w:rsid w:val="00C15073"/>
    <w:rsid w:val="00C164AC"/>
    <w:rsid w:val="00C169A9"/>
    <w:rsid w:val="00C17082"/>
    <w:rsid w:val="00C179C2"/>
    <w:rsid w:val="00C17FB1"/>
    <w:rsid w:val="00C20AB4"/>
    <w:rsid w:val="00C20D1A"/>
    <w:rsid w:val="00C20E3F"/>
    <w:rsid w:val="00C20F8A"/>
    <w:rsid w:val="00C22E00"/>
    <w:rsid w:val="00C22F7A"/>
    <w:rsid w:val="00C233C8"/>
    <w:rsid w:val="00C2375D"/>
    <w:rsid w:val="00C23D29"/>
    <w:rsid w:val="00C24044"/>
    <w:rsid w:val="00C244BF"/>
    <w:rsid w:val="00C24968"/>
    <w:rsid w:val="00C24C12"/>
    <w:rsid w:val="00C24D7D"/>
    <w:rsid w:val="00C25357"/>
    <w:rsid w:val="00C25478"/>
    <w:rsid w:val="00C25E4E"/>
    <w:rsid w:val="00C3190E"/>
    <w:rsid w:val="00C32065"/>
    <w:rsid w:val="00C329BC"/>
    <w:rsid w:val="00C32FF9"/>
    <w:rsid w:val="00C335C1"/>
    <w:rsid w:val="00C33DC4"/>
    <w:rsid w:val="00C33EA4"/>
    <w:rsid w:val="00C34471"/>
    <w:rsid w:val="00C3648E"/>
    <w:rsid w:val="00C36AF7"/>
    <w:rsid w:val="00C36C10"/>
    <w:rsid w:val="00C3779C"/>
    <w:rsid w:val="00C40665"/>
    <w:rsid w:val="00C40A11"/>
    <w:rsid w:val="00C41AF5"/>
    <w:rsid w:val="00C41E18"/>
    <w:rsid w:val="00C43DFE"/>
    <w:rsid w:val="00C45EF9"/>
    <w:rsid w:val="00C46037"/>
    <w:rsid w:val="00C4605F"/>
    <w:rsid w:val="00C46C99"/>
    <w:rsid w:val="00C47034"/>
    <w:rsid w:val="00C474BA"/>
    <w:rsid w:val="00C47BE9"/>
    <w:rsid w:val="00C5048B"/>
    <w:rsid w:val="00C50C15"/>
    <w:rsid w:val="00C512BA"/>
    <w:rsid w:val="00C53136"/>
    <w:rsid w:val="00C53358"/>
    <w:rsid w:val="00C53E2A"/>
    <w:rsid w:val="00C55CD6"/>
    <w:rsid w:val="00C60627"/>
    <w:rsid w:val="00C60A26"/>
    <w:rsid w:val="00C60DBD"/>
    <w:rsid w:val="00C611A2"/>
    <w:rsid w:val="00C61335"/>
    <w:rsid w:val="00C6193C"/>
    <w:rsid w:val="00C62490"/>
    <w:rsid w:val="00C62CF1"/>
    <w:rsid w:val="00C6355D"/>
    <w:rsid w:val="00C6409D"/>
    <w:rsid w:val="00C646F0"/>
    <w:rsid w:val="00C649D4"/>
    <w:rsid w:val="00C66D98"/>
    <w:rsid w:val="00C67724"/>
    <w:rsid w:val="00C701E2"/>
    <w:rsid w:val="00C7095C"/>
    <w:rsid w:val="00C7134F"/>
    <w:rsid w:val="00C714DC"/>
    <w:rsid w:val="00C718BD"/>
    <w:rsid w:val="00C72DBE"/>
    <w:rsid w:val="00C73313"/>
    <w:rsid w:val="00C7478D"/>
    <w:rsid w:val="00C7671B"/>
    <w:rsid w:val="00C775FC"/>
    <w:rsid w:val="00C77644"/>
    <w:rsid w:val="00C80F62"/>
    <w:rsid w:val="00C81250"/>
    <w:rsid w:val="00C8152E"/>
    <w:rsid w:val="00C81820"/>
    <w:rsid w:val="00C82529"/>
    <w:rsid w:val="00C8317C"/>
    <w:rsid w:val="00C838CA"/>
    <w:rsid w:val="00C84E22"/>
    <w:rsid w:val="00C85E19"/>
    <w:rsid w:val="00C86EA2"/>
    <w:rsid w:val="00C871EA"/>
    <w:rsid w:val="00C87F64"/>
    <w:rsid w:val="00C90D07"/>
    <w:rsid w:val="00C9211B"/>
    <w:rsid w:val="00C926A0"/>
    <w:rsid w:val="00C92FBE"/>
    <w:rsid w:val="00C93345"/>
    <w:rsid w:val="00C94537"/>
    <w:rsid w:val="00C9458A"/>
    <w:rsid w:val="00C94CDF"/>
    <w:rsid w:val="00C958EA"/>
    <w:rsid w:val="00C961C2"/>
    <w:rsid w:val="00C967EC"/>
    <w:rsid w:val="00C96E17"/>
    <w:rsid w:val="00C9780C"/>
    <w:rsid w:val="00C97A10"/>
    <w:rsid w:val="00CA0585"/>
    <w:rsid w:val="00CA1682"/>
    <w:rsid w:val="00CA1802"/>
    <w:rsid w:val="00CA24F6"/>
    <w:rsid w:val="00CA258E"/>
    <w:rsid w:val="00CA3FD2"/>
    <w:rsid w:val="00CA45B8"/>
    <w:rsid w:val="00CA4B3D"/>
    <w:rsid w:val="00CA5458"/>
    <w:rsid w:val="00CA5646"/>
    <w:rsid w:val="00CB08FE"/>
    <w:rsid w:val="00CB0F23"/>
    <w:rsid w:val="00CB3FA6"/>
    <w:rsid w:val="00CB4E4C"/>
    <w:rsid w:val="00CB612A"/>
    <w:rsid w:val="00CB6511"/>
    <w:rsid w:val="00CB65AC"/>
    <w:rsid w:val="00CB6C54"/>
    <w:rsid w:val="00CB7D04"/>
    <w:rsid w:val="00CC04ED"/>
    <w:rsid w:val="00CC1C93"/>
    <w:rsid w:val="00CC2DBC"/>
    <w:rsid w:val="00CC34E6"/>
    <w:rsid w:val="00CC36C6"/>
    <w:rsid w:val="00CC5391"/>
    <w:rsid w:val="00CC5C4B"/>
    <w:rsid w:val="00CC646C"/>
    <w:rsid w:val="00CD00E2"/>
    <w:rsid w:val="00CD0F1D"/>
    <w:rsid w:val="00CD1881"/>
    <w:rsid w:val="00CD1E6E"/>
    <w:rsid w:val="00CD344E"/>
    <w:rsid w:val="00CD3B2A"/>
    <w:rsid w:val="00CD551D"/>
    <w:rsid w:val="00CD5F56"/>
    <w:rsid w:val="00CD6D62"/>
    <w:rsid w:val="00CD753D"/>
    <w:rsid w:val="00CD7B67"/>
    <w:rsid w:val="00CE01E2"/>
    <w:rsid w:val="00CE0479"/>
    <w:rsid w:val="00CE0994"/>
    <w:rsid w:val="00CE0A66"/>
    <w:rsid w:val="00CE0A8D"/>
    <w:rsid w:val="00CE1EB7"/>
    <w:rsid w:val="00CE32A7"/>
    <w:rsid w:val="00CE35DF"/>
    <w:rsid w:val="00CE6B2A"/>
    <w:rsid w:val="00CE6F6F"/>
    <w:rsid w:val="00CE7303"/>
    <w:rsid w:val="00CE7648"/>
    <w:rsid w:val="00CE7ED2"/>
    <w:rsid w:val="00CF05E9"/>
    <w:rsid w:val="00CF0CD8"/>
    <w:rsid w:val="00CF0CF8"/>
    <w:rsid w:val="00CF11D8"/>
    <w:rsid w:val="00CF2915"/>
    <w:rsid w:val="00CF345F"/>
    <w:rsid w:val="00CF3BFE"/>
    <w:rsid w:val="00CF5AE4"/>
    <w:rsid w:val="00CF5DCC"/>
    <w:rsid w:val="00CF618C"/>
    <w:rsid w:val="00CF6246"/>
    <w:rsid w:val="00CF64E3"/>
    <w:rsid w:val="00CF7066"/>
    <w:rsid w:val="00D00C8C"/>
    <w:rsid w:val="00D00F0F"/>
    <w:rsid w:val="00D01176"/>
    <w:rsid w:val="00D02060"/>
    <w:rsid w:val="00D028D9"/>
    <w:rsid w:val="00D02A9B"/>
    <w:rsid w:val="00D02D8B"/>
    <w:rsid w:val="00D03387"/>
    <w:rsid w:val="00D036F9"/>
    <w:rsid w:val="00D03C88"/>
    <w:rsid w:val="00D049AF"/>
    <w:rsid w:val="00D052C6"/>
    <w:rsid w:val="00D06765"/>
    <w:rsid w:val="00D06F1E"/>
    <w:rsid w:val="00D1020D"/>
    <w:rsid w:val="00D11BDA"/>
    <w:rsid w:val="00D11E32"/>
    <w:rsid w:val="00D1297B"/>
    <w:rsid w:val="00D135C0"/>
    <w:rsid w:val="00D136EA"/>
    <w:rsid w:val="00D1416E"/>
    <w:rsid w:val="00D155F7"/>
    <w:rsid w:val="00D161BC"/>
    <w:rsid w:val="00D16A2F"/>
    <w:rsid w:val="00D17DEE"/>
    <w:rsid w:val="00D220BD"/>
    <w:rsid w:val="00D222A5"/>
    <w:rsid w:val="00D23601"/>
    <w:rsid w:val="00D2403F"/>
    <w:rsid w:val="00D243F1"/>
    <w:rsid w:val="00D24B5F"/>
    <w:rsid w:val="00D25BCD"/>
    <w:rsid w:val="00D25D26"/>
    <w:rsid w:val="00D25E3A"/>
    <w:rsid w:val="00D26CF6"/>
    <w:rsid w:val="00D279DC"/>
    <w:rsid w:val="00D27D7C"/>
    <w:rsid w:val="00D30CAD"/>
    <w:rsid w:val="00D31492"/>
    <w:rsid w:val="00D32506"/>
    <w:rsid w:val="00D34428"/>
    <w:rsid w:val="00D34E97"/>
    <w:rsid w:val="00D35077"/>
    <w:rsid w:val="00D35666"/>
    <w:rsid w:val="00D3659A"/>
    <w:rsid w:val="00D36C16"/>
    <w:rsid w:val="00D36C65"/>
    <w:rsid w:val="00D36D99"/>
    <w:rsid w:val="00D4003F"/>
    <w:rsid w:val="00D4086F"/>
    <w:rsid w:val="00D40BA5"/>
    <w:rsid w:val="00D40BFD"/>
    <w:rsid w:val="00D4167E"/>
    <w:rsid w:val="00D41F94"/>
    <w:rsid w:val="00D42F82"/>
    <w:rsid w:val="00D43604"/>
    <w:rsid w:val="00D44A98"/>
    <w:rsid w:val="00D45592"/>
    <w:rsid w:val="00D45D02"/>
    <w:rsid w:val="00D46B34"/>
    <w:rsid w:val="00D50AD3"/>
    <w:rsid w:val="00D51310"/>
    <w:rsid w:val="00D51AD5"/>
    <w:rsid w:val="00D52994"/>
    <w:rsid w:val="00D53E51"/>
    <w:rsid w:val="00D53FC3"/>
    <w:rsid w:val="00D55411"/>
    <w:rsid w:val="00D575A7"/>
    <w:rsid w:val="00D5798F"/>
    <w:rsid w:val="00D607BA"/>
    <w:rsid w:val="00D60E82"/>
    <w:rsid w:val="00D60FC7"/>
    <w:rsid w:val="00D61B92"/>
    <w:rsid w:val="00D62618"/>
    <w:rsid w:val="00D62640"/>
    <w:rsid w:val="00D64FA5"/>
    <w:rsid w:val="00D660A7"/>
    <w:rsid w:val="00D664D7"/>
    <w:rsid w:val="00D66D01"/>
    <w:rsid w:val="00D677D8"/>
    <w:rsid w:val="00D713C8"/>
    <w:rsid w:val="00D7147F"/>
    <w:rsid w:val="00D727C8"/>
    <w:rsid w:val="00D7387E"/>
    <w:rsid w:val="00D73B9F"/>
    <w:rsid w:val="00D73E56"/>
    <w:rsid w:val="00D748E1"/>
    <w:rsid w:val="00D74EED"/>
    <w:rsid w:val="00D7559C"/>
    <w:rsid w:val="00D7624C"/>
    <w:rsid w:val="00D809F6"/>
    <w:rsid w:val="00D81C21"/>
    <w:rsid w:val="00D81F23"/>
    <w:rsid w:val="00D82649"/>
    <w:rsid w:val="00D8299C"/>
    <w:rsid w:val="00D84142"/>
    <w:rsid w:val="00D84563"/>
    <w:rsid w:val="00D84EAB"/>
    <w:rsid w:val="00D8583F"/>
    <w:rsid w:val="00D87FA7"/>
    <w:rsid w:val="00D90026"/>
    <w:rsid w:val="00D905AA"/>
    <w:rsid w:val="00D909BF"/>
    <w:rsid w:val="00D913DA"/>
    <w:rsid w:val="00D921D8"/>
    <w:rsid w:val="00D92A51"/>
    <w:rsid w:val="00D92A65"/>
    <w:rsid w:val="00D931ED"/>
    <w:rsid w:val="00D93349"/>
    <w:rsid w:val="00D938A1"/>
    <w:rsid w:val="00D939DF"/>
    <w:rsid w:val="00D948F2"/>
    <w:rsid w:val="00D9546A"/>
    <w:rsid w:val="00D95A31"/>
    <w:rsid w:val="00D96880"/>
    <w:rsid w:val="00D9698E"/>
    <w:rsid w:val="00D9707D"/>
    <w:rsid w:val="00D970C3"/>
    <w:rsid w:val="00DA00DB"/>
    <w:rsid w:val="00DA0913"/>
    <w:rsid w:val="00DA0A93"/>
    <w:rsid w:val="00DA110B"/>
    <w:rsid w:val="00DA13A4"/>
    <w:rsid w:val="00DA21D8"/>
    <w:rsid w:val="00DA3F08"/>
    <w:rsid w:val="00DA44DB"/>
    <w:rsid w:val="00DA7633"/>
    <w:rsid w:val="00DA79DC"/>
    <w:rsid w:val="00DB00BC"/>
    <w:rsid w:val="00DB089F"/>
    <w:rsid w:val="00DB21D5"/>
    <w:rsid w:val="00DB2CD7"/>
    <w:rsid w:val="00DB31DF"/>
    <w:rsid w:val="00DB4397"/>
    <w:rsid w:val="00DB6512"/>
    <w:rsid w:val="00DB7AC5"/>
    <w:rsid w:val="00DC26DA"/>
    <w:rsid w:val="00DC278D"/>
    <w:rsid w:val="00DC2BA4"/>
    <w:rsid w:val="00DC2E2F"/>
    <w:rsid w:val="00DC33F7"/>
    <w:rsid w:val="00DC3EA8"/>
    <w:rsid w:val="00DC3FD2"/>
    <w:rsid w:val="00DC4B1F"/>
    <w:rsid w:val="00DC5212"/>
    <w:rsid w:val="00DC5256"/>
    <w:rsid w:val="00DC52BA"/>
    <w:rsid w:val="00DC77A1"/>
    <w:rsid w:val="00DD18E7"/>
    <w:rsid w:val="00DD206E"/>
    <w:rsid w:val="00DD2A68"/>
    <w:rsid w:val="00DD2B25"/>
    <w:rsid w:val="00DD35F6"/>
    <w:rsid w:val="00DD6998"/>
    <w:rsid w:val="00DD798C"/>
    <w:rsid w:val="00DE0450"/>
    <w:rsid w:val="00DE58DF"/>
    <w:rsid w:val="00DE5C6E"/>
    <w:rsid w:val="00DE7253"/>
    <w:rsid w:val="00DF07F2"/>
    <w:rsid w:val="00DF18D9"/>
    <w:rsid w:val="00DF1CD5"/>
    <w:rsid w:val="00DF2906"/>
    <w:rsid w:val="00DF2DFD"/>
    <w:rsid w:val="00DF33AC"/>
    <w:rsid w:val="00DF44A9"/>
    <w:rsid w:val="00DF7C98"/>
    <w:rsid w:val="00DF7E85"/>
    <w:rsid w:val="00E01703"/>
    <w:rsid w:val="00E02481"/>
    <w:rsid w:val="00E02BE4"/>
    <w:rsid w:val="00E02E9D"/>
    <w:rsid w:val="00E031E3"/>
    <w:rsid w:val="00E03561"/>
    <w:rsid w:val="00E0420C"/>
    <w:rsid w:val="00E04359"/>
    <w:rsid w:val="00E06FC7"/>
    <w:rsid w:val="00E07F4E"/>
    <w:rsid w:val="00E130BB"/>
    <w:rsid w:val="00E17F63"/>
    <w:rsid w:val="00E20982"/>
    <w:rsid w:val="00E20ABD"/>
    <w:rsid w:val="00E2145A"/>
    <w:rsid w:val="00E21846"/>
    <w:rsid w:val="00E22AA6"/>
    <w:rsid w:val="00E24D56"/>
    <w:rsid w:val="00E2538A"/>
    <w:rsid w:val="00E2541C"/>
    <w:rsid w:val="00E26411"/>
    <w:rsid w:val="00E26A0B"/>
    <w:rsid w:val="00E27EE4"/>
    <w:rsid w:val="00E306D5"/>
    <w:rsid w:val="00E30963"/>
    <w:rsid w:val="00E32B29"/>
    <w:rsid w:val="00E32F7C"/>
    <w:rsid w:val="00E35071"/>
    <w:rsid w:val="00E35342"/>
    <w:rsid w:val="00E35570"/>
    <w:rsid w:val="00E357B8"/>
    <w:rsid w:val="00E3624C"/>
    <w:rsid w:val="00E374AA"/>
    <w:rsid w:val="00E37C5C"/>
    <w:rsid w:val="00E4067B"/>
    <w:rsid w:val="00E4075F"/>
    <w:rsid w:val="00E40F87"/>
    <w:rsid w:val="00E437EF"/>
    <w:rsid w:val="00E45444"/>
    <w:rsid w:val="00E45965"/>
    <w:rsid w:val="00E470A7"/>
    <w:rsid w:val="00E47B1A"/>
    <w:rsid w:val="00E50060"/>
    <w:rsid w:val="00E50160"/>
    <w:rsid w:val="00E50A53"/>
    <w:rsid w:val="00E5112B"/>
    <w:rsid w:val="00E51FCD"/>
    <w:rsid w:val="00E52F87"/>
    <w:rsid w:val="00E53EB5"/>
    <w:rsid w:val="00E54196"/>
    <w:rsid w:val="00E5490E"/>
    <w:rsid w:val="00E55B4C"/>
    <w:rsid w:val="00E55B7F"/>
    <w:rsid w:val="00E56F65"/>
    <w:rsid w:val="00E5717F"/>
    <w:rsid w:val="00E573F0"/>
    <w:rsid w:val="00E57C37"/>
    <w:rsid w:val="00E60042"/>
    <w:rsid w:val="00E604A9"/>
    <w:rsid w:val="00E609C6"/>
    <w:rsid w:val="00E6157F"/>
    <w:rsid w:val="00E625D7"/>
    <w:rsid w:val="00E626DB"/>
    <w:rsid w:val="00E62D6D"/>
    <w:rsid w:val="00E65B84"/>
    <w:rsid w:val="00E668BC"/>
    <w:rsid w:val="00E67301"/>
    <w:rsid w:val="00E71AB2"/>
    <w:rsid w:val="00E7250D"/>
    <w:rsid w:val="00E72651"/>
    <w:rsid w:val="00E72F1E"/>
    <w:rsid w:val="00E736A9"/>
    <w:rsid w:val="00E75055"/>
    <w:rsid w:val="00E7538C"/>
    <w:rsid w:val="00E75537"/>
    <w:rsid w:val="00E7614A"/>
    <w:rsid w:val="00E76B14"/>
    <w:rsid w:val="00E76C4B"/>
    <w:rsid w:val="00E76DEE"/>
    <w:rsid w:val="00E82606"/>
    <w:rsid w:val="00E82E29"/>
    <w:rsid w:val="00E841AC"/>
    <w:rsid w:val="00E84AE9"/>
    <w:rsid w:val="00E86839"/>
    <w:rsid w:val="00E868D5"/>
    <w:rsid w:val="00E86D0D"/>
    <w:rsid w:val="00E903EB"/>
    <w:rsid w:val="00E90847"/>
    <w:rsid w:val="00E93EA0"/>
    <w:rsid w:val="00E94CD2"/>
    <w:rsid w:val="00E95A68"/>
    <w:rsid w:val="00E95FAE"/>
    <w:rsid w:val="00E966EE"/>
    <w:rsid w:val="00EA01F6"/>
    <w:rsid w:val="00EA0888"/>
    <w:rsid w:val="00EA1D15"/>
    <w:rsid w:val="00EA223F"/>
    <w:rsid w:val="00EA2DC6"/>
    <w:rsid w:val="00EA77F1"/>
    <w:rsid w:val="00EA799E"/>
    <w:rsid w:val="00EB00ED"/>
    <w:rsid w:val="00EB0874"/>
    <w:rsid w:val="00EB0CED"/>
    <w:rsid w:val="00EB1752"/>
    <w:rsid w:val="00EB2391"/>
    <w:rsid w:val="00EB435E"/>
    <w:rsid w:val="00EB4BAD"/>
    <w:rsid w:val="00EB6542"/>
    <w:rsid w:val="00EB698D"/>
    <w:rsid w:val="00EB6A65"/>
    <w:rsid w:val="00EB6DE4"/>
    <w:rsid w:val="00EB7EBB"/>
    <w:rsid w:val="00EC07B2"/>
    <w:rsid w:val="00EC11BC"/>
    <w:rsid w:val="00EC19DE"/>
    <w:rsid w:val="00EC1A03"/>
    <w:rsid w:val="00EC2392"/>
    <w:rsid w:val="00EC35A6"/>
    <w:rsid w:val="00EC3F83"/>
    <w:rsid w:val="00EC6E53"/>
    <w:rsid w:val="00EC79A3"/>
    <w:rsid w:val="00EC7CC0"/>
    <w:rsid w:val="00ED02C5"/>
    <w:rsid w:val="00ED0A8A"/>
    <w:rsid w:val="00ED0C81"/>
    <w:rsid w:val="00ED0D2E"/>
    <w:rsid w:val="00ED2902"/>
    <w:rsid w:val="00ED2BE4"/>
    <w:rsid w:val="00ED2F6D"/>
    <w:rsid w:val="00ED3511"/>
    <w:rsid w:val="00ED47E9"/>
    <w:rsid w:val="00ED4C1B"/>
    <w:rsid w:val="00ED4F4E"/>
    <w:rsid w:val="00ED69E4"/>
    <w:rsid w:val="00EE1FC3"/>
    <w:rsid w:val="00EE2CAB"/>
    <w:rsid w:val="00EE59E0"/>
    <w:rsid w:val="00EE5FD0"/>
    <w:rsid w:val="00EE6341"/>
    <w:rsid w:val="00EE6517"/>
    <w:rsid w:val="00EF1A38"/>
    <w:rsid w:val="00EF2C60"/>
    <w:rsid w:val="00EF371C"/>
    <w:rsid w:val="00EF37A8"/>
    <w:rsid w:val="00EF3D0A"/>
    <w:rsid w:val="00EF484C"/>
    <w:rsid w:val="00EF4B2C"/>
    <w:rsid w:val="00EF50D9"/>
    <w:rsid w:val="00EF5BBD"/>
    <w:rsid w:val="00EF5E1E"/>
    <w:rsid w:val="00EF5FC2"/>
    <w:rsid w:val="00EF74F2"/>
    <w:rsid w:val="00F015DC"/>
    <w:rsid w:val="00F015F2"/>
    <w:rsid w:val="00F044B1"/>
    <w:rsid w:val="00F06369"/>
    <w:rsid w:val="00F06D19"/>
    <w:rsid w:val="00F06E48"/>
    <w:rsid w:val="00F1007C"/>
    <w:rsid w:val="00F1064F"/>
    <w:rsid w:val="00F11A48"/>
    <w:rsid w:val="00F13394"/>
    <w:rsid w:val="00F13FAD"/>
    <w:rsid w:val="00F14E83"/>
    <w:rsid w:val="00F15AD6"/>
    <w:rsid w:val="00F15B6D"/>
    <w:rsid w:val="00F16050"/>
    <w:rsid w:val="00F160C6"/>
    <w:rsid w:val="00F166A5"/>
    <w:rsid w:val="00F16D8A"/>
    <w:rsid w:val="00F1773D"/>
    <w:rsid w:val="00F17B7D"/>
    <w:rsid w:val="00F22195"/>
    <w:rsid w:val="00F22619"/>
    <w:rsid w:val="00F22F96"/>
    <w:rsid w:val="00F23E13"/>
    <w:rsid w:val="00F248D2"/>
    <w:rsid w:val="00F26A67"/>
    <w:rsid w:val="00F30EDF"/>
    <w:rsid w:val="00F30FE7"/>
    <w:rsid w:val="00F316B2"/>
    <w:rsid w:val="00F320A5"/>
    <w:rsid w:val="00F335E1"/>
    <w:rsid w:val="00F33F10"/>
    <w:rsid w:val="00F34116"/>
    <w:rsid w:val="00F347E3"/>
    <w:rsid w:val="00F35713"/>
    <w:rsid w:val="00F35B4D"/>
    <w:rsid w:val="00F3658D"/>
    <w:rsid w:val="00F371D3"/>
    <w:rsid w:val="00F377C7"/>
    <w:rsid w:val="00F400EB"/>
    <w:rsid w:val="00F41062"/>
    <w:rsid w:val="00F41FBE"/>
    <w:rsid w:val="00F427AC"/>
    <w:rsid w:val="00F4674C"/>
    <w:rsid w:val="00F46EE6"/>
    <w:rsid w:val="00F46FA6"/>
    <w:rsid w:val="00F47AAD"/>
    <w:rsid w:val="00F506E3"/>
    <w:rsid w:val="00F518FA"/>
    <w:rsid w:val="00F530C7"/>
    <w:rsid w:val="00F539B2"/>
    <w:rsid w:val="00F53C86"/>
    <w:rsid w:val="00F54408"/>
    <w:rsid w:val="00F54517"/>
    <w:rsid w:val="00F54B0E"/>
    <w:rsid w:val="00F576E0"/>
    <w:rsid w:val="00F57CA2"/>
    <w:rsid w:val="00F60B2C"/>
    <w:rsid w:val="00F6123F"/>
    <w:rsid w:val="00F61AB4"/>
    <w:rsid w:val="00F61C70"/>
    <w:rsid w:val="00F62D6B"/>
    <w:rsid w:val="00F6307F"/>
    <w:rsid w:val="00F653D7"/>
    <w:rsid w:val="00F6619C"/>
    <w:rsid w:val="00F665BF"/>
    <w:rsid w:val="00F6668B"/>
    <w:rsid w:val="00F700A8"/>
    <w:rsid w:val="00F711FD"/>
    <w:rsid w:val="00F71218"/>
    <w:rsid w:val="00F73210"/>
    <w:rsid w:val="00F7465C"/>
    <w:rsid w:val="00F7522F"/>
    <w:rsid w:val="00F77510"/>
    <w:rsid w:val="00F80308"/>
    <w:rsid w:val="00F8129E"/>
    <w:rsid w:val="00F81828"/>
    <w:rsid w:val="00F8232D"/>
    <w:rsid w:val="00F824E9"/>
    <w:rsid w:val="00F84097"/>
    <w:rsid w:val="00F84E1E"/>
    <w:rsid w:val="00F853EA"/>
    <w:rsid w:val="00F855C6"/>
    <w:rsid w:val="00F8698D"/>
    <w:rsid w:val="00F86B9A"/>
    <w:rsid w:val="00F870F7"/>
    <w:rsid w:val="00F9017F"/>
    <w:rsid w:val="00F90E0A"/>
    <w:rsid w:val="00F90EFD"/>
    <w:rsid w:val="00F91320"/>
    <w:rsid w:val="00F91713"/>
    <w:rsid w:val="00F92160"/>
    <w:rsid w:val="00F93939"/>
    <w:rsid w:val="00F94BF2"/>
    <w:rsid w:val="00F96C32"/>
    <w:rsid w:val="00F96D03"/>
    <w:rsid w:val="00F97A35"/>
    <w:rsid w:val="00FA01D7"/>
    <w:rsid w:val="00FA18EB"/>
    <w:rsid w:val="00FA30F6"/>
    <w:rsid w:val="00FA3652"/>
    <w:rsid w:val="00FA44F1"/>
    <w:rsid w:val="00FA5364"/>
    <w:rsid w:val="00FA7827"/>
    <w:rsid w:val="00FB0F17"/>
    <w:rsid w:val="00FB1F4E"/>
    <w:rsid w:val="00FB22A2"/>
    <w:rsid w:val="00FB637B"/>
    <w:rsid w:val="00FB7B3B"/>
    <w:rsid w:val="00FC0305"/>
    <w:rsid w:val="00FC1A82"/>
    <w:rsid w:val="00FC2FA5"/>
    <w:rsid w:val="00FC301E"/>
    <w:rsid w:val="00FC338F"/>
    <w:rsid w:val="00FC365D"/>
    <w:rsid w:val="00FC65BC"/>
    <w:rsid w:val="00FC6A5D"/>
    <w:rsid w:val="00FC6CAD"/>
    <w:rsid w:val="00FD0C35"/>
    <w:rsid w:val="00FD1C49"/>
    <w:rsid w:val="00FD1CDF"/>
    <w:rsid w:val="00FD1E44"/>
    <w:rsid w:val="00FD475F"/>
    <w:rsid w:val="00FD5B63"/>
    <w:rsid w:val="00FD6EDA"/>
    <w:rsid w:val="00FD7C71"/>
    <w:rsid w:val="00FE0D90"/>
    <w:rsid w:val="00FE1533"/>
    <w:rsid w:val="00FE23F9"/>
    <w:rsid w:val="00FE2A00"/>
    <w:rsid w:val="00FE4419"/>
    <w:rsid w:val="00FE492D"/>
    <w:rsid w:val="00FE4AB4"/>
    <w:rsid w:val="00FE510B"/>
    <w:rsid w:val="00FE5535"/>
    <w:rsid w:val="00FE62DD"/>
    <w:rsid w:val="00FE75DC"/>
    <w:rsid w:val="00FE7B1D"/>
    <w:rsid w:val="00FF051A"/>
    <w:rsid w:val="00FF1B3C"/>
    <w:rsid w:val="00FF4380"/>
    <w:rsid w:val="00FF5A53"/>
    <w:rsid w:val="00FF5B59"/>
    <w:rsid w:val="00FF68EB"/>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CD5C92"/>
  <w15:chartTrackingRefBased/>
  <w15:docId w15:val="{DFB794E7-D68D-4BFE-AAAE-AC30626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31"/>
    <w:rPr>
      <w:rFonts w:ascii="Arial" w:hAnsi="Arial" w:cs="Arial"/>
      <w:sz w:val="24"/>
      <w:szCs w:val="24"/>
    </w:rPr>
  </w:style>
  <w:style w:type="paragraph" w:styleId="Heading1">
    <w:name w:val="heading 1"/>
    <w:basedOn w:val="Normal"/>
    <w:next w:val="Normal"/>
    <w:link w:val="Heading1Char"/>
    <w:qFormat/>
    <w:rsid w:val="006D4383"/>
    <w:pPr>
      <w:numPr>
        <w:numId w:val="11"/>
      </w:numPr>
      <w:ind w:left="360" w:hanging="360"/>
      <w:outlineLvl w:val="0"/>
    </w:pPr>
    <w:rPr>
      <w:b/>
      <w:sz w:val="20"/>
      <w:szCs w:val="20"/>
    </w:rPr>
  </w:style>
  <w:style w:type="paragraph" w:styleId="Heading2">
    <w:name w:val="heading 2"/>
    <w:basedOn w:val="Normal"/>
    <w:next w:val="Normal"/>
    <w:uiPriority w:val="9"/>
    <w:qFormat/>
    <w:rsid w:val="0041397F"/>
    <w:pPr>
      <w:keepNext/>
      <w:numPr>
        <w:ilvl w:val="1"/>
        <w:numId w:val="160"/>
      </w:numPr>
      <w:spacing w:before="240" w:after="60"/>
      <w:outlineLvl w:val="1"/>
    </w:pPr>
    <w:rPr>
      <w:b/>
      <w:bCs/>
      <w:iCs/>
      <w:sz w:val="20"/>
      <w:szCs w:val="20"/>
    </w:rPr>
  </w:style>
  <w:style w:type="paragraph" w:styleId="Heading3">
    <w:name w:val="heading 3"/>
    <w:basedOn w:val="Normal"/>
    <w:next w:val="Normal"/>
    <w:qFormat/>
    <w:rsid w:val="0041397F"/>
    <w:pPr>
      <w:keepNext/>
      <w:numPr>
        <w:ilvl w:val="2"/>
        <w:numId w:val="160"/>
      </w:numPr>
      <w:spacing w:before="240" w:after="60"/>
      <w:outlineLvl w:val="2"/>
    </w:pPr>
    <w:rPr>
      <w:b/>
      <w:bCs/>
      <w:sz w:val="20"/>
      <w:szCs w:val="20"/>
    </w:rPr>
  </w:style>
  <w:style w:type="paragraph" w:styleId="Heading4">
    <w:name w:val="heading 4"/>
    <w:basedOn w:val="Normal"/>
    <w:next w:val="Normal"/>
    <w:qFormat/>
    <w:rsid w:val="00D970C3"/>
    <w:pPr>
      <w:outlineLvl w:val="3"/>
    </w:pPr>
    <w:rPr>
      <w:rFonts w:ascii="Arial Black" w:hAnsi="Arial Black"/>
      <w:b/>
      <w:sz w:val="28"/>
      <w:szCs w:val="28"/>
    </w:rPr>
  </w:style>
  <w:style w:type="paragraph" w:styleId="Heading5">
    <w:name w:val="heading 5"/>
    <w:basedOn w:val="Heading4"/>
    <w:next w:val="Normal"/>
    <w:link w:val="Heading5Char"/>
    <w:qFormat/>
    <w:rsid w:val="00A51423"/>
    <w:pPr>
      <w:outlineLvl w:val="4"/>
    </w:pPr>
    <w:rPr>
      <w:rFonts w:ascii="Arial" w:hAnsi="Arial"/>
      <w:sz w:val="20"/>
      <w:szCs w:val="20"/>
    </w:rPr>
  </w:style>
  <w:style w:type="paragraph" w:styleId="Heading6">
    <w:name w:val="heading 6"/>
    <w:basedOn w:val="Normal"/>
    <w:next w:val="Normal"/>
    <w:qFormat/>
    <w:rsid w:val="008E261D"/>
    <w:pPr>
      <w:numPr>
        <w:ilvl w:val="5"/>
        <w:numId w:val="160"/>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160"/>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160"/>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16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uiPriority w:val="99"/>
    <w:rsid w:val="00FC0305"/>
    <w:rPr>
      <w:color w:val="0000FF"/>
      <w:u w:val="single"/>
    </w:rPr>
  </w:style>
  <w:style w:type="table" w:styleId="TableGrid">
    <w:name w:val="Table Grid"/>
    <w:basedOn w:val="TableNormal"/>
    <w:uiPriority w:val="39"/>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BalloonText">
    <w:name w:val="Balloon Text"/>
    <w:basedOn w:val="Normal"/>
    <w:link w:val="BalloonTextChar"/>
    <w:uiPriority w:val="99"/>
    <w:semiHidden/>
    <w:unhideWhenUsed/>
    <w:rsid w:val="00A12702"/>
    <w:rPr>
      <w:rFonts w:ascii="Tahoma" w:hAnsi="Tahoma" w:cs="Tahoma"/>
      <w:sz w:val="16"/>
      <w:szCs w:val="16"/>
    </w:rPr>
  </w:style>
  <w:style w:type="character" w:customStyle="1" w:styleId="BalloonTextChar">
    <w:name w:val="Balloon Text Char"/>
    <w:link w:val="BalloonText"/>
    <w:uiPriority w:val="99"/>
    <w:semiHidden/>
    <w:rsid w:val="00A12702"/>
    <w:rPr>
      <w:rFonts w:ascii="Tahoma" w:hAnsi="Tahoma" w:cs="Tahoma"/>
      <w:sz w:val="16"/>
      <w:szCs w:val="16"/>
    </w:rPr>
  </w:style>
  <w:style w:type="paragraph" w:styleId="NoSpacing">
    <w:name w:val="No Spacing"/>
    <w:uiPriority w:val="1"/>
    <w:qFormat/>
    <w:rsid w:val="00BD7DFA"/>
    <w:rPr>
      <w:rFonts w:ascii="Calibri" w:eastAsia="Calibri" w:hAnsi="Calibri"/>
      <w:sz w:val="22"/>
      <w:szCs w:val="22"/>
    </w:rPr>
  </w:style>
  <w:style w:type="paragraph" w:styleId="BodyText">
    <w:name w:val="Body Text"/>
    <w:basedOn w:val="Normal"/>
    <w:link w:val="BodyTextChar"/>
    <w:rsid w:val="00DC77A1"/>
    <w:pPr>
      <w:tabs>
        <w:tab w:val="left" w:pos="576"/>
        <w:tab w:val="left" w:pos="1152"/>
        <w:tab w:val="left" w:pos="1728"/>
        <w:tab w:val="left" w:pos="2304"/>
        <w:tab w:val="left" w:pos="2880"/>
      </w:tabs>
      <w:spacing w:line="240" w:lineRule="exact"/>
    </w:pPr>
    <w:rPr>
      <w:rFonts w:ascii="Times New Roman" w:hAnsi="Times New Roman" w:cs="Times New Roman"/>
      <w:szCs w:val="20"/>
    </w:rPr>
  </w:style>
  <w:style w:type="character" w:customStyle="1" w:styleId="BodyTextChar">
    <w:name w:val="Body Text Char"/>
    <w:link w:val="BodyText"/>
    <w:rsid w:val="00DC77A1"/>
    <w:rPr>
      <w:sz w:val="24"/>
    </w:rPr>
  </w:style>
  <w:style w:type="paragraph" w:styleId="BodyTextIndent2">
    <w:name w:val="Body Text Indent 2"/>
    <w:basedOn w:val="Normal"/>
    <w:link w:val="BodyTextIndent2Char"/>
    <w:rsid w:val="00DC77A1"/>
    <w:pPr>
      <w:ind w:firstLine="570"/>
    </w:pPr>
    <w:rPr>
      <w:rFonts w:ascii="Garmond (W1)" w:hAnsi="Garmond (W1)" w:cs="Times New Roman"/>
      <w:szCs w:val="20"/>
    </w:rPr>
  </w:style>
  <w:style w:type="character" w:customStyle="1" w:styleId="BodyTextIndent2Char">
    <w:name w:val="Body Text Indent 2 Char"/>
    <w:link w:val="BodyTextIndent2"/>
    <w:rsid w:val="00DC77A1"/>
    <w:rPr>
      <w:rFonts w:ascii="Garmond (W1)" w:hAnsi="Garmond (W1)"/>
      <w:sz w:val="24"/>
    </w:rPr>
  </w:style>
  <w:style w:type="paragraph" w:styleId="ListParagraph">
    <w:name w:val="List Paragraph"/>
    <w:basedOn w:val="Normal"/>
    <w:link w:val="ListParagraphChar"/>
    <w:uiPriority w:val="34"/>
    <w:qFormat/>
    <w:rsid w:val="00BF35BE"/>
    <w:pPr>
      <w:ind w:left="720"/>
    </w:pPr>
  </w:style>
  <w:style w:type="character" w:styleId="Emphasis">
    <w:name w:val="Emphasis"/>
    <w:uiPriority w:val="20"/>
    <w:qFormat/>
    <w:rsid w:val="005A4034"/>
    <w:rPr>
      <w:b/>
      <w:bCs/>
      <w:i w:val="0"/>
      <w:iCs w:val="0"/>
    </w:rPr>
  </w:style>
  <w:style w:type="paragraph" w:styleId="Header">
    <w:name w:val="header"/>
    <w:basedOn w:val="Normal"/>
    <w:link w:val="HeaderChar"/>
    <w:uiPriority w:val="99"/>
    <w:unhideWhenUsed/>
    <w:rsid w:val="00DA79DC"/>
    <w:pPr>
      <w:tabs>
        <w:tab w:val="center" w:pos="4680"/>
        <w:tab w:val="right" w:pos="9360"/>
      </w:tabs>
    </w:pPr>
  </w:style>
  <w:style w:type="character" w:customStyle="1" w:styleId="HeaderChar">
    <w:name w:val="Header Char"/>
    <w:link w:val="Header"/>
    <w:uiPriority w:val="99"/>
    <w:rsid w:val="00DA79DC"/>
    <w:rPr>
      <w:rFonts w:ascii="Arial" w:hAnsi="Arial" w:cs="Arial"/>
      <w:sz w:val="24"/>
      <w:szCs w:val="24"/>
    </w:rPr>
  </w:style>
  <w:style w:type="character" w:customStyle="1" w:styleId="Heading1Char">
    <w:name w:val="Heading 1 Char"/>
    <w:link w:val="Heading1"/>
    <w:rsid w:val="006D4383"/>
    <w:rPr>
      <w:rFonts w:ascii="Arial" w:hAnsi="Arial" w:cs="Arial"/>
      <w:b/>
    </w:rPr>
  </w:style>
  <w:style w:type="paragraph" w:styleId="BodyText3">
    <w:name w:val="Body Text 3"/>
    <w:basedOn w:val="Normal"/>
    <w:link w:val="BodyText3Char"/>
    <w:uiPriority w:val="99"/>
    <w:semiHidden/>
    <w:unhideWhenUsed/>
    <w:rsid w:val="00FD5B63"/>
    <w:pPr>
      <w:spacing w:after="120"/>
    </w:pPr>
    <w:rPr>
      <w:sz w:val="16"/>
      <w:szCs w:val="16"/>
    </w:rPr>
  </w:style>
  <w:style w:type="character" w:customStyle="1" w:styleId="BodyText3Char">
    <w:name w:val="Body Text 3 Char"/>
    <w:link w:val="BodyText3"/>
    <w:uiPriority w:val="99"/>
    <w:semiHidden/>
    <w:rsid w:val="00FD5B63"/>
    <w:rPr>
      <w:rFonts w:ascii="Arial" w:hAnsi="Arial" w:cs="Arial"/>
      <w:sz w:val="16"/>
      <w:szCs w:val="16"/>
    </w:rPr>
  </w:style>
  <w:style w:type="paragraph" w:styleId="Revision">
    <w:name w:val="Revision"/>
    <w:hidden/>
    <w:uiPriority w:val="99"/>
    <w:semiHidden/>
    <w:rsid w:val="00BA2BE4"/>
    <w:rPr>
      <w:rFonts w:ascii="Arial" w:hAnsi="Arial" w:cs="Arial"/>
      <w:sz w:val="24"/>
      <w:szCs w:val="24"/>
    </w:rPr>
  </w:style>
  <w:style w:type="character" w:styleId="CommentReference">
    <w:name w:val="annotation reference"/>
    <w:uiPriority w:val="99"/>
    <w:unhideWhenUsed/>
    <w:rsid w:val="00FC6A5D"/>
    <w:rPr>
      <w:sz w:val="16"/>
      <w:szCs w:val="16"/>
    </w:rPr>
  </w:style>
  <w:style w:type="paragraph" w:styleId="CommentText">
    <w:name w:val="annotation text"/>
    <w:basedOn w:val="Normal"/>
    <w:link w:val="CommentTextChar"/>
    <w:uiPriority w:val="99"/>
    <w:unhideWhenUsed/>
    <w:rsid w:val="00FC6A5D"/>
    <w:rPr>
      <w:sz w:val="20"/>
      <w:szCs w:val="20"/>
    </w:rPr>
  </w:style>
  <w:style w:type="character" w:customStyle="1" w:styleId="CommentTextChar">
    <w:name w:val="Comment Text Char"/>
    <w:link w:val="CommentText"/>
    <w:uiPriority w:val="99"/>
    <w:rsid w:val="00FC6A5D"/>
    <w:rPr>
      <w:rFonts w:ascii="Arial" w:hAnsi="Arial" w:cs="Arial"/>
    </w:rPr>
  </w:style>
  <w:style w:type="paragraph" w:styleId="CommentSubject">
    <w:name w:val="annotation subject"/>
    <w:basedOn w:val="CommentText"/>
    <w:next w:val="CommentText"/>
    <w:link w:val="CommentSubjectChar"/>
    <w:uiPriority w:val="99"/>
    <w:semiHidden/>
    <w:unhideWhenUsed/>
    <w:rsid w:val="00FC6A5D"/>
    <w:rPr>
      <w:b/>
      <w:bCs/>
    </w:rPr>
  </w:style>
  <w:style w:type="character" w:customStyle="1" w:styleId="CommentSubjectChar">
    <w:name w:val="Comment Subject Char"/>
    <w:link w:val="CommentSubject"/>
    <w:uiPriority w:val="99"/>
    <w:semiHidden/>
    <w:rsid w:val="00FC6A5D"/>
    <w:rPr>
      <w:rFonts w:ascii="Arial" w:hAnsi="Arial" w:cs="Arial"/>
      <w:b/>
      <w:bCs/>
    </w:rPr>
  </w:style>
  <w:style w:type="table" w:customStyle="1" w:styleId="TableGrid1">
    <w:name w:val="Table Grid1"/>
    <w:basedOn w:val="TableNormal"/>
    <w:next w:val="TableGrid"/>
    <w:uiPriority w:val="39"/>
    <w:rsid w:val="00957D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1B0BDF"/>
    <w:pPr>
      <w:numPr>
        <w:numId w:val="7"/>
      </w:numPr>
      <w:contextualSpacing/>
    </w:pPr>
    <w:rPr>
      <w:bCs/>
      <w:color w:val="000000"/>
      <w:sz w:val="20"/>
      <w:szCs w:val="20"/>
      <w:lang w:bidi="en-US"/>
    </w:rPr>
  </w:style>
  <w:style w:type="paragraph" w:customStyle="1" w:styleId="Default">
    <w:name w:val="Default"/>
    <w:rsid w:val="001524D3"/>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377B31"/>
    <w:rPr>
      <w:sz w:val="20"/>
      <w:szCs w:val="20"/>
    </w:rPr>
  </w:style>
  <w:style w:type="character" w:customStyle="1" w:styleId="FootnoteTextChar">
    <w:name w:val="Footnote Text Char"/>
    <w:link w:val="FootnoteText"/>
    <w:uiPriority w:val="99"/>
    <w:semiHidden/>
    <w:rsid w:val="00377B31"/>
    <w:rPr>
      <w:rFonts w:ascii="Arial" w:hAnsi="Arial" w:cs="Arial"/>
    </w:rPr>
  </w:style>
  <w:style w:type="character" w:styleId="FootnoteReference">
    <w:name w:val="footnote reference"/>
    <w:uiPriority w:val="99"/>
    <w:semiHidden/>
    <w:unhideWhenUsed/>
    <w:rsid w:val="00377B31"/>
    <w:rPr>
      <w:vertAlign w:val="superscript"/>
    </w:rPr>
  </w:style>
  <w:style w:type="paragraph" w:styleId="PlainText">
    <w:name w:val="Plain Text"/>
    <w:basedOn w:val="Normal"/>
    <w:link w:val="PlainTextChar"/>
    <w:uiPriority w:val="99"/>
    <w:rsid w:val="006A6092"/>
    <w:rPr>
      <w:rFonts w:ascii="Courier New" w:hAnsi="Courier New" w:cs="Times New Roman"/>
      <w:sz w:val="20"/>
      <w:szCs w:val="20"/>
    </w:rPr>
  </w:style>
  <w:style w:type="character" w:customStyle="1" w:styleId="PlainTextChar">
    <w:name w:val="Plain Text Char"/>
    <w:basedOn w:val="DefaultParagraphFont"/>
    <w:link w:val="PlainText"/>
    <w:uiPriority w:val="99"/>
    <w:rsid w:val="006A6092"/>
    <w:rPr>
      <w:rFonts w:ascii="Courier New" w:hAnsi="Courier New"/>
    </w:rPr>
  </w:style>
  <w:style w:type="character" w:customStyle="1" w:styleId="FooterChar">
    <w:name w:val="Footer Char"/>
    <w:basedOn w:val="DefaultParagraphFont"/>
    <w:link w:val="Footer"/>
    <w:uiPriority w:val="99"/>
    <w:rsid w:val="006A6092"/>
    <w:rPr>
      <w:rFonts w:ascii="Arial" w:hAnsi="Arial" w:cs="Arial"/>
      <w:sz w:val="24"/>
      <w:szCs w:val="24"/>
    </w:rPr>
  </w:style>
  <w:style w:type="numbering" w:customStyle="1" w:styleId="NoList1">
    <w:name w:val="No List1"/>
    <w:next w:val="NoList"/>
    <w:uiPriority w:val="99"/>
    <w:semiHidden/>
    <w:unhideWhenUsed/>
    <w:rsid w:val="00837ECC"/>
  </w:style>
  <w:style w:type="numbering" w:customStyle="1" w:styleId="NoList2">
    <w:name w:val="No List2"/>
    <w:next w:val="NoList"/>
    <w:uiPriority w:val="99"/>
    <w:semiHidden/>
    <w:unhideWhenUsed/>
    <w:rsid w:val="00837ECC"/>
  </w:style>
  <w:style w:type="character" w:styleId="FollowedHyperlink">
    <w:name w:val="FollowedHyperlink"/>
    <w:basedOn w:val="DefaultParagraphFont"/>
    <w:uiPriority w:val="99"/>
    <w:semiHidden/>
    <w:unhideWhenUsed/>
    <w:rsid w:val="00EA0888"/>
    <w:rPr>
      <w:color w:val="878587" w:themeColor="followedHyperlink"/>
      <w:u w:val="single"/>
    </w:rPr>
  </w:style>
  <w:style w:type="table" w:styleId="GridTable4-Accent5">
    <w:name w:val="Grid Table 4 Accent 5"/>
    <w:basedOn w:val="TableNormal"/>
    <w:uiPriority w:val="49"/>
    <w:rsid w:val="00D220BD"/>
    <w:tblPr>
      <w:tblStyleRowBandSize w:val="1"/>
      <w:tblStyleColBandSize w:val="1"/>
      <w:tblBorders>
        <w:top w:val="single" w:sz="4" w:space="0" w:color="F1A9A0" w:themeColor="accent5" w:themeTint="99"/>
        <w:left w:val="single" w:sz="4" w:space="0" w:color="F1A9A0" w:themeColor="accent5" w:themeTint="99"/>
        <w:bottom w:val="single" w:sz="4" w:space="0" w:color="F1A9A0" w:themeColor="accent5" w:themeTint="99"/>
        <w:right w:val="single" w:sz="4" w:space="0" w:color="F1A9A0" w:themeColor="accent5" w:themeTint="99"/>
        <w:insideH w:val="single" w:sz="4" w:space="0" w:color="F1A9A0" w:themeColor="accent5" w:themeTint="99"/>
        <w:insideV w:val="single" w:sz="4" w:space="0" w:color="F1A9A0" w:themeColor="accent5" w:themeTint="99"/>
      </w:tblBorders>
    </w:tblPr>
    <w:tblStylePr w:type="firstRow">
      <w:rPr>
        <w:b/>
        <w:bCs/>
        <w:color w:val="FFFFFF" w:themeColor="background1"/>
      </w:rPr>
      <w:tblPr/>
      <w:tcPr>
        <w:tcBorders>
          <w:top w:val="single" w:sz="4" w:space="0" w:color="E97162" w:themeColor="accent5"/>
          <w:left w:val="single" w:sz="4" w:space="0" w:color="E97162" w:themeColor="accent5"/>
          <w:bottom w:val="single" w:sz="4" w:space="0" w:color="E97162" w:themeColor="accent5"/>
          <w:right w:val="single" w:sz="4" w:space="0" w:color="E97162" w:themeColor="accent5"/>
          <w:insideH w:val="nil"/>
          <w:insideV w:val="nil"/>
        </w:tcBorders>
        <w:shd w:val="clear" w:color="auto" w:fill="E97162" w:themeFill="accent5"/>
      </w:tcPr>
    </w:tblStylePr>
    <w:tblStylePr w:type="lastRow">
      <w:rPr>
        <w:b/>
        <w:bCs/>
      </w:rPr>
      <w:tblPr/>
      <w:tcPr>
        <w:tcBorders>
          <w:top w:val="double" w:sz="4" w:space="0" w:color="E97162" w:themeColor="accent5"/>
        </w:tcBorders>
      </w:tcPr>
    </w:tblStylePr>
    <w:tblStylePr w:type="firstCol">
      <w:rPr>
        <w:b/>
        <w:bCs/>
      </w:rPr>
    </w:tblStylePr>
    <w:tblStylePr w:type="lastCol">
      <w:rPr>
        <w:b/>
        <w:bCs/>
      </w:rPr>
    </w:tblStylePr>
    <w:tblStylePr w:type="band1Vert">
      <w:tblPr/>
      <w:tcPr>
        <w:shd w:val="clear" w:color="auto" w:fill="FAE2DF" w:themeFill="accent5" w:themeFillTint="33"/>
      </w:tcPr>
    </w:tblStylePr>
    <w:tblStylePr w:type="band1Horz">
      <w:tblPr/>
      <w:tcPr>
        <w:shd w:val="clear" w:color="auto" w:fill="FAE2DF" w:themeFill="accent5" w:themeFillTint="33"/>
      </w:tcPr>
    </w:tblStylePr>
  </w:style>
  <w:style w:type="paragraph" w:customStyle="1" w:styleId="CHSglBody">
    <w:name w:val="CH Sgl Body"/>
    <w:basedOn w:val="Normal"/>
    <w:uiPriority w:val="4"/>
    <w:qFormat/>
    <w:rsid w:val="00F41FBE"/>
    <w:pPr>
      <w:spacing w:after="240"/>
    </w:pPr>
    <w:rPr>
      <w:rFonts w:ascii="Times New Roman" w:hAnsi="Times New Roman" w:cs="Times New Roman"/>
    </w:rPr>
  </w:style>
  <w:style w:type="paragraph" w:styleId="BodyTextIndent3">
    <w:name w:val="Body Text Indent 3"/>
    <w:basedOn w:val="Normal"/>
    <w:link w:val="BodyTextIndent3Char"/>
    <w:uiPriority w:val="99"/>
    <w:unhideWhenUsed/>
    <w:rsid w:val="00B7335A"/>
    <w:pPr>
      <w:spacing w:after="120"/>
      <w:ind w:left="360"/>
    </w:pPr>
    <w:rPr>
      <w:rFonts w:ascii="Times New Roman" w:eastAsia="Calibri" w:hAnsi="Times New Roman" w:cs="Times New Roman"/>
      <w:sz w:val="16"/>
      <w:szCs w:val="16"/>
      <w:lang w:bidi="en-US"/>
    </w:rPr>
  </w:style>
  <w:style w:type="character" w:customStyle="1" w:styleId="BodyTextIndent3Char">
    <w:name w:val="Body Text Indent 3 Char"/>
    <w:basedOn w:val="DefaultParagraphFont"/>
    <w:link w:val="BodyTextIndent3"/>
    <w:uiPriority w:val="99"/>
    <w:rsid w:val="00B7335A"/>
    <w:rPr>
      <w:rFonts w:eastAsia="Calibri"/>
      <w:sz w:val="16"/>
      <w:szCs w:val="16"/>
      <w:lang w:bidi="en-US"/>
    </w:rPr>
  </w:style>
  <w:style w:type="table" w:customStyle="1" w:styleId="GridTable4-Accent51">
    <w:name w:val="Grid Table 4 - Accent 51"/>
    <w:basedOn w:val="TableNormal"/>
    <w:uiPriority w:val="49"/>
    <w:rsid w:val="00A2376C"/>
    <w:tblPr>
      <w:tblStyleRowBandSize w:val="1"/>
      <w:tblStyleColBandSize w:val="1"/>
      <w:tblBorders>
        <w:top w:val="single" w:sz="4" w:space="0" w:color="F1A9A0" w:themeColor="accent5" w:themeTint="99"/>
        <w:left w:val="single" w:sz="4" w:space="0" w:color="F1A9A0" w:themeColor="accent5" w:themeTint="99"/>
        <w:bottom w:val="single" w:sz="4" w:space="0" w:color="F1A9A0" w:themeColor="accent5" w:themeTint="99"/>
        <w:right w:val="single" w:sz="4" w:space="0" w:color="F1A9A0" w:themeColor="accent5" w:themeTint="99"/>
        <w:insideH w:val="single" w:sz="4" w:space="0" w:color="F1A9A0" w:themeColor="accent5" w:themeTint="99"/>
        <w:insideV w:val="single" w:sz="4" w:space="0" w:color="F1A9A0" w:themeColor="accent5" w:themeTint="99"/>
      </w:tblBorders>
    </w:tblPr>
    <w:tblStylePr w:type="firstRow">
      <w:rPr>
        <w:b/>
        <w:bCs/>
        <w:color w:val="FFFFFF" w:themeColor="background1"/>
      </w:rPr>
      <w:tblPr/>
      <w:tcPr>
        <w:tcBorders>
          <w:top w:val="single" w:sz="4" w:space="0" w:color="E97162" w:themeColor="accent5"/>
          <w:left w:val="single" w:sz="4" w:space="0" w:color="E97162" w:themeColor="accent5"/>
          <w:bottom w:val="single" w:sz="4" w:space="0" w:color="E97162" w:themeColor="accent5"/>
          <w:right w:val="single" w:sz="4" w:space="0" w:color="E97162" w:themeColor="accent5"/>
          <w:insideH w:val="nil"/>
          <w:insideV w:val="nil"/>
        </w:tcBorders>
        <w:shd w:val="clear" w:color="auto" w:fill="E97162" w:themeFill="accent5"/>
      </w:tcPr>
    </w:tblStylePr>
    <w:tblStylePr w:type="lastRow">
      <w:rPr>
        <w:b/>
        <w:bCs/>
      </w:rPr>
      <w:tblPr/>
      <w:tcPr>
        <w:tcBorders>
          <w:top w:val="double" w:sz="4" w:space="0" w:color="E97162" w:themeColor="accent5"/>
        </w:tcBorders>
      </w:tcPr>
    </w:tblStylePr>
    <w:tblStylePr w:type="firstCol">
      <w:rPr>
        <w:b/>
        <w:bCs/>
      </w:rPr>
    </w:tblStylePr>
    <w:tblStylePr w:type="lastCol">
      <w:rPr>
        <w:b/>
        <w:bCs/>
      </w:rPr>
    </w:tblStylePr>
    <w:tblStylePr w:type="band1Vert">
      <w:tblPr/>
      <w:tcPr>
        <w:shd w:val="clear" w:color="auto" w:fill="FAE2DF" w:themeFill="accent5" w:themeFillTint="33"/>
      </w:tcPr>
    </w:tblStylePr>
    <w:tblStylePr w:type="band1Horz">
      <w:tblPr/>
      <w:tcPr>
        <w:shd w:val="clear" w:color="auto" w:fill="FAE2DF" w:themeFill="accent5" w:themeFillTint="33"/>
      </w:tcPr>
    </w:tblStylePr>
  </w:style>
  <w:style w:type="paragraph" w:customStyle="1" w:styleId="indent-2">
    <w:name w:val="indent-2"/>
    <w:basedOn w:val="Normal"/>
    <w:rsid w:val="000B4D46"/>
    <w:pPr>
      <w:spacing w:before="100" w:beforeAutospacing="1" w:after="100" w:afterAutospacing="1"/>
    </w:pPr>
    <w:rPr>
      <w:rFonts w:ascii="Times New Roman" w:hAnsi="Times New Roman" w:cs="Times New Roman"/>
    </w:rPr>
  </w:style>
  <w:style w:type="paragraph" w:customStyle="1" w:styleId="StyleGaramond11ptLeft05">
    <w:name w:val="Style Garamond 11 pt Left:  0.5&quot;"/>
    <w:basedOn w:val="Normal"/>
    <w:rsid w:val="00152EA0"/>
    <w:pPr>
      <w:ind w:left="900"/>
    </w:pPr>
    <w:rPr>
      <w:rFonts w:ascii="Garamond" w:hAnsi="Garamond" w:cs="Times New Roman"/>
      <w:sz w:val="22"/>
      <w:szCs w:val="20"/>
    </w:rPr>
  </w:style>
  <w:style w:type="paragraph" w:customStyle="1" w:styleId="ScopeofServices">
    <w:name w:val="Scope of Services"/>
    <w:basedOn w:val="Normal"/>
    <w:qFormat/>
    <w:rsid w:val="002C381A"/>
    <w:pPr>
      <w:ind w:left="720"/>
    </w:pPr>
    <w:rPr>
      <w:color w:val="000000"/>
      <w:sz w:val="20"/>
      <w:szCs w:val="20"/>
    </w:rPr>
  </w:style>
  <w:style w:type="paragraph" w:customStyle="1" w:styleId="Style3">
    <w:name w:val="Style3"/>
    <w:basedOn w:val="Style2"/>
    <w:link w:val="Style3Char"/>
    <w:qFormat/>
    <w:rsid w:val="00B41CB7"/>
    <w:pPr>
      <w:ind w:left="1080"/>
    </w:pPr>
  </w:style>
  <w:style w:type="character" w:customStyle="1" w:styleId="Style2Char">
    <w:name w:val="Style2 Char"/>
    <w:basedOn w:val="DefaultParagraphFont"/>
    <w:link w:val="Style2"/>
    <w:rsid w:val="00B41CB7"/>
    <w:rPr>
      <w:rFonts w:ascii="Arial" w:hAnsi="Arial" w:cs="Arial"/>
      <w:bCs/>
      <w:color w:val="000000"/>
      <w:lang w:bidi="en-US"/>
    </w:rPr>
  </w:style>
  <w:style w:type="character" w:customStyle="1" w:styleId="Style3Char">
    <w:name w:val="Style3 Char"/>
    <w:basedOn w:val="Style2Char"/>
    <w:link w:val="Style3"/>
    <w:rsid w:val="00B41CB7"/>
    <w:rPr>
      <w:rFonts w:ascii="Arial" w:hAnsi="Arial" w:cs="Arial"/>
      <w:bCs/>
      <w:color w:val="000000"/>
      <w:lang w:bidi="en-US"/>
    </w:rPr>
  </w:style>
  <w:style w:type="character" w:customStyle="1" w:styleId="ListParagraphChar">
    <w:name w:val="List Paragraph Char"/>
    <w:link w:val="ListParagraph"/>
    <w:uiPriority w:val="34"/>
    <w:locked/>
    <w:rsid w:val="00646F33"/>
    <w:rPr>
      <w:rFonts w:ascii="Arial" w:hAnsi="Arial" w:cs="Arial"/>
      <w:sz w:val="24"/>
      <w:szCs w:val="24"/>
    </w:rPr>
  </w:style>
  <w:style w:type="paragraph" w:customStyle="1" w:styleId="TableParagraph">
    <w:name w:val="Table Paragraph"/>
    <w:basedOn w:val="Normal"/>
    <w:uiPriority w:val="1"/>
    <w:qFormat/>
    <w:rsid w:val="003D6A92"/>
    <w:pPr>
      <w:widowControl w:val="0"/>
      <w:ind w:left="360"/>
    </w:pPr>
    <w:rPr>
      <w:rFonts w:asciiTheme="minorHAnsi" w:eastAsiaTheme="minorHAnsi" w:hAnsiTheme="minorHAnsi" w:cstheme="minorBidi"/>
      <w:color w:val="000000" w:themeColor="text1"/>
      <w:sz w:val="22"/>
      <w:szCs w:val="22"/>
    </w:rPr>
  </w:style>
  <w:style w:type="table" w:customStyle="1" w:styleId="TableGrid2">
    <w:name w:val="Table Grid2"/>
    <w:basedOn w:val="TableNormal"/>
    <w:next w:val="TableGrid"/>
    <w:uiPriority w:val="39"/>
    <w:rsid w:val="00D970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pt">
    <w:name w:val="Style 10 pt"/>
    <w:basedOn w:val="DefaultParagraphFont"/>
    <w:rsid w:val="00AD4388"/>
    <w:rPr>
      <w:sz w:val="20"/>
    </w:rPr>
  </w:style>
  <w:style w:type="character" w:customStyle="1" w:styleId="Heading5Char">
    <w:name w:val="Heading 5 Char"/>
    <w:basedOn w:val="DefaultParagraphFont"/>
    <w:link w:val="Heading5"/>
    <w:rsid w:val="00A51423"/>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461">
      <w:bodyDiv w:val="1"/>
      <w:marLeft w:val="0"/>
      <w:marRight w:val="0"/>
      <w:marTop w:val="0"/>
      <w:marBottom w:val="0"/>
      <w:divBdr>
        <w:top w:val="none" w:sz="0" w:space="0" w:color="auto"/>
        <w:left w:val="none" w:sz="0" w:space="0" w:color="auto"/>
        <w:bottom w:val="none" w:sz="0" w:space="0" w:color="auto"/>
        <w:right w:val="none" w:sz="0" w:space="0" w:color="auto"/>
      </w:divBdr>
    </w:div>
    <w:div w:id="103893094">
      <w:bodyDiv w:val="1"/>
      <w:marLeft w:val="0"/>
      <w:marRight w:val="0"/>
      <w:marTop w:val="0"/>
      <w:marBottom w:val="0"/>
      <w:divBdr>
        <w:top w:val="none" w:sz="0" w:space="0" w:color="auto"/>
        <w:left w:val="none" w:sz="0" w:space="0" w:color="auto"/>
        <w:bottom w:val="none" w:sz="0" w:space="0" w:color="auto"/>
        <w:right w:val="none" w:sz="0" w:space="0" w:color="auto"/>
      </w:divBdr>
    </w:div>
    <w:div w:id="112015963">
      <w:bodyDiv w:val="1"/>
      <w:marLeft w:val="0"/>
      <w:marRight w:val="0"/>
      <w:marTop w:val="0"/>
      <w:marBottom w:val="0"/>
      <w:divBdr>
        <w:top w:val="none" w:sz="0" w:space="0" w:color="auto"/>
        <w:left w:val="none" w:sz="0" w:space="0" w:color="auto"/>
        <w:bottom w:val="none" w:sz="0" w:space="0" w:color="auto"/>
        <w:right w:val="none" w:sz="0" w:space="0" w:color="auto"/>
      </w:divBdr>
    </w:div>
    <w:div w:id="121732838">
      <w:bodyDiv w:val="1"/>
      <w:marLeft w:val="0"/>
      <w:marRight w:val="0"/>
      <w:marTop w:val="0"/>
      <w:marBottom w:val="0"/>
      <w:divBdr>
        <w:top w:val="none" w:sz="0" w:space="0" w:color="auto"/>
        <w:left w:val="none" w:sz="0" w:space="0" w:color="auto"/>
        <w:bottom w:val="none" w:sz="0" w:space="0" w:color="auto"/>
        <w:right w:val="none" w:sz="0" w:space="0" w:color="auto"/>
      </w:divBdr>
    </w:div>
    <w:div w:id="123475091">
      <w:bodyDiv w:val="1"/>
      <w:marLeft w:val="0"/>
      <w:marRight w:val="0"/>
      <w:marTop w:val="0"/>
      <w:marBottom w:val="0"/>
      <w:divBdr>
        <w:top w:val="none" w:sz="0" w:space="0" w:color="auto"/>
        <w:left w:val="none" w:sz="0" w:space="0" w:color="auto"/>
        <w:bottom w:val="none" w:sz="0" w:space="0" w:color="auto"/>
        <w:right w:val="none" w:sz="0" w:space="0" w:color="auto"/>
      </w:divBdr>
    </w:div>
    <w:div w:id="155733941">
      <w:bodyDiv w:val="1"/>
      <w:marLeft w:val="0"/>
      <w:marRight w:val="0"/>
      <w:marTop w:val="0"/>
      <w:marBottom w:val="0"/>
      <w:divBdr>
        <w:top w:val="none" w:sz="0" w:space="0" w:color="auto"/>
        <w:left w:val="none" w:sz="0" w:space="0" w:color="auto"/>
        <w:bottom w:val="none" w:sz="0" w:space="0" w:color="auto"/>
        <w:right w:val="none" w:sz="0" w:space="0" w:color="auto"/>
      </w:divBdr>
    </w:div>
    <w:div w:id="218326880">
      <w:bodyDiv w:val="1"/>
      <w:marLeft w:val="0"/>
      <w:marRight w:val="0"/>
      <w:marTop w:val="0"/>
      <w:marBottom w:val="0"/>
      <w:divBdr>
        <w:top w:val="none" w:sz="0" w:space="0" w:color="auto"/>
        <w:left w:val="none" w:sz="0" w:space="0" w:color="auto"/>
        <w:bottom w:val="none" w:sz="0" w:space="0" w:color="auto"/>
        <w:right w:val="none" w:sz="0" w:space="0" w:color="auto"/>
      </w:divBdr>
    </w:div>
    <w:div w:id="284697759">
      <w:bodyDiv w:val="1"/>
      <w:marLeft w:val="0"/>
      <w:marRight w:val="0"/>
      <w:marTop w:val="0"/>
      <w:marBottom w:val="0"/>
      <w:divBdr>
        <w:top w:val="none" w:sz="0" w:space="0" w:color="auto"/>
        <w:left w:val="none" w:sz="0" w:space="0" w:color="auto"/>
        <w:bottom w:val="none" w:sz="0" w:space="0" w:color="auto"/>
        <w:right w:val="none" w:sz="0" w:space="0" w:color="auto"/>
      </w:divBdr>
    </w:div>
    <w:div w:id="305430403">
      <w:bodyDiv w:val="1"/>
      <w:marLeft w:val="0"/>
      <w:marRight w:val="0"/>
      <w:marTop w:val="0"/>
      <w:marBottom w:val="0"/>
      <w:divBdr>
        <w:top w:val="none" w:sz="0" w:space="0" w:color="auto"/>
        <w:left w:val="none" w:sz="0" w:space="0" w:color="auto"/>
        <w:bottom w:val="none" w:sz="0" w:space="0" w:color="auto"/>
        <w:right w:val="none" w:sz="0" w:space="0" w:color="auto"/>
      </w:divBdr>
    </w:div>
    <w:div w:id="336658997">
      <w:bodyDiv w:val="1"/>
      <w:marLeft w:val="0"/>
      <w:marRight w:val="0"/>
      <w:marTop w:val="0"/>
      <w:marBottom w:val="0"/>
      <w:divBdr>
        <w:top w:val="none" w:sz="0" w:space="0" w:color="auto"/>
        <w:left w:val="none" w:sz="0" w:space="0" w:color="auto"/>
        <w:bottom w:val="none" w:sz="0" w:space="0" w:color="auto"/>
        <w:right w:val="none" w:sz="0" w:space="0" w:color="auto"/>
      </w:divBdr>
    </w:div>
    <w:div w:id="337075298">
      <w:bodyDiv w:val="1"/>
      <w:marLeft w:val="0"/>
      <w:marRight w:val="0"/>
      <w:marTop w:val="0"/>
      <w:marBottom w:val="0"/>
      <w:divBdr>
        <w:top w:val="none" w:sz="0" w:space="0" w:color="auto"/>
        <w:left w:val="none" w:sz="0" w:space="0" w:color="auto"/>
        <w:bottom w:val="none" w:sz="0" w:space="0" w:color="auto"/>
        <w:right w:val="none" w:sz="0" w:space="0" w:color="auto"/>
      </w:divBdr>
    </w:div>
    <w:div w:id="358162691">
      <w:bodyDiv w:val="1"/>
      <w:marLeft w:val="0"/>
      <w:marRight w:val="0"/>
      <w:marTop w:val="0"/>
      <w:marBottom w:val="0"/>
      <w:divBdr>
        <w:top w:val="none" w:sz="0" w:space="0" w:color="auto"/>
        <w:left w:val="none" w:sz="0" w:space="0" w:color="auto"/>
        <w:bottom w:val="none" w:sz="0" w:space="0" w:color="auto"/>
        <w:right w:val="none" w:sz="0" w:space="0" w:color="auto"/>
      </w:divBdr>
    </w:div>
    <w:div w:id="380179011">
      <w:bodyDiv w:val="1"/>
      <w:marLeft w:val="0"/>
      <w:marRight w:val="0"/>
      <w:marTop w:val="0"/>
      <w:marBottom w:val="0"/>
      <w:divBdr>
        <w:top w:val="none" w:sz="0" w:space="0" w:color="auto"/>
        <w:left w:val="none" w:sz="0" w:space="0" w:color="auto"/>
        <w:bottom w:val="none" w:sz="0" w:space="0" w:color="auto"/>
        <w:right w:val="none" w:sz="0" w:space="0" w:color="auto"/>
      </w:divBdr>
    </w:div>
    <w:div w:id="443307739">
      <w:bodyDiv w:val="1"/>
      <w:marLeft w:val="0"/>
      <w:marRight w:val="0"/>
      <w:marTop w:val="0"/>
      <w:marBottom w:val="0"/>
      <w:divBdr>
        <w:top w:val="none" w:sz="0" w:space="0" w:color="auto"/>
        <w:left w:val="none" w:sz="0" w:space="0" w:color="auto"/>
        <w:bottom w:val="none" w:sz="0" w:space="0" w:color="auto"/>
        <w:right w:val="none" w:sz="0" w:space="0" w:color="auto"/>
      </w:divBdr>
    </w:div>
    <w:div w:id="539705604">
      <w:bodyDiv w:val="1"/>
      <w:marLeft w:val="0"/>
      <w:marRight w:val="0"/>
      <w:marTop w:val="0"/>
      <w:marBottom w:val="0"/>
      <w:divBdr>
        <w:top w:val="none" w:sz="0" w:space="0" w:color="auto"/>
        <w:left w:val="none" w:sz="0" w:space="0" w:color="auto"/>
        <w:bottom w:val="none" w:sz="0" w:space="0" w:color="auto"/>
        <w:right w:val="none" w:sz="0" w:space="0" w:color="auto"/>
      </w:divBdr>
    </w:div>
    <w:div w:id="551693103">
      <w:bodyDiv w:val="1"/>
      <w:marLeft w:val="0"/>
      <w:marRight w:val="0"/>
      <w:marTop w:val="0"/>
      <w:marBottom w:val="0"/>
      <w:divBdr>
        <w:top w:val="none" w:sz="0" w:space="0" w:color="auto"/>
        <w:left w:val="none" w:sz="0" w:space="0" w:color="auto"/>
        <w:bottom w:val="none" w:sz="0" w:space="0" w:color="auto"/>
        <w:right w:val="none" w:sz="0" w:space="0" w:color="auto"/>
      </w:divBdr>
    </w:div>
    <w:div w:id="722874396">
      <w:bodyDiv w:val="1"/>
      <w:marLeft w:val="0"/>
      <w:marRight w:val="0"/>
      <w:marTop w:val="0"/>
      <w:marBottom w:val="0"/>
      <w:divBdr>
        <w:top w:val="none" w:sz="0" w:space="0" w:color="auto"/>
        <w:left w:val="none" w:sz="0" w:space="0" w:color="auto"/>
        <w:bottom w:val="none" w:sz="0" w:space="0" w:color="auto"/>
        <w:right w:val="none" w:sz="0" w:space="0" w:color="auto"/>
      </w:divBdr>
    </w:div>
    <w:div w:id="741104059">
      <w:bodyDiv w:val="1"/>
      <w:marLeft w:val="0"/>
      <w:marRight w:val="0"/>
      <w:marTop w:val="0"/>
      <w:marBottom w:val="0"/>
      <w:divBdr>
        <w:top w:val="none" w:sz="0" w:space="0" w:color="auto"/>
        <w:left w:val="none" w:sz="0" w:space="0" w:color="auto"/>
        <w:bottom w:val="none" w:sz="0" w:space="0" w:color="auto"/>
        <w:right w:val="none" w:sz="0" w:space="0" w:color="auto"/>
      </w:divBdr>
    </w:div>
    <w:div w:id="817721228">
      <w:bodyDiv w:val="1"/>
      <w:marLeft w:val="0"/>
      <w:marRight w:val="0"/>
      <w:marTop w:val="0"/>
      <w:marBottom w:val="0"/>
      <w:divBdr>
        <w:top w:val="none" w:sz="0" w:space="0" w:color="auto"/>
        <w:left w:val="none" w:sz="0" w:space="0" w:color="auto"/>
        <w:bottom w:val="none" w:sz="0" w:space="0" w:color="auto"/>
        <w:right w:val="none" w:sz="0" w:space="0" w:color="auto"/>
      </w:divBdr>
    </w:div>
    <w:div w:id="828401984">
      <w:bodyDiv w:val="1"/>
      <w:marLeft w:val="0"/>
      <w:marRight w:val="0"/>
      <w:marTop w:val="0"/>
      <w:marBottom w:val="0"/>
      <w:divBdr>
        <w:top w:val="none" w:sz="0" w:space="0" w:color="auto"/>
        <w:left w:val="none" w:sz="0" w:space="0" w:color="auto"/>
        <w:bottom w:val="none" w:sz="0" w:space="0" w:color="auto"/>
        <w:right w:val="none" w:sz="0" w:space="0" w:color="auto"/>
      </w:divBdr>
    </w:div>
    <w:div w:id="833684781">
      <w:bodyDiv w:val="1"/>
      <w:marLeft w:val="0"/>
      <w:marRight w:val="0"/>
      <w:marTop w:val="0"/>
      <w:marBottom w:val="0"/>
      <w:divBdr>
        <w:top w:val="none" w:sz="0" w:space="0" w:color="auto"/>
        <w:left w:val="none" w:sz="0" w:space="0" w:color="auto"/>
        <w:bottom w:val="none" w:sz="0" w:space="0" w:color="auto"/>
        <w:right w:val="none" w:sz="0" w:space="0" w:color="auto"/>
      </w:divBdr>
    </w:div>
    <w:div w:id="897007960">
      <w:bodyDiv w:val="1"/>
      <w:marLeft w:val="0"/>
      <w:marRight w:val="0"/>
      <w:marTop w:val="0"/>
      <w:marBottom w:val="0"/>
      <w:divBdr>
        <w:top w:val="none" w:sz="0" w:space="0" w:color="auto"/>
        <w:left w:val="none" w:sz="0" w:space="0" w:color="auto"/>
        <w:bottom w:val="none" w:sz="0" w:space="0" w:color="auto"/>
        <w:right w:val="none" w:sz="0" w:space="0" w:color="auto"/>
      </w:divBdr>
    </w:div>
    <w:div w:id="940797219">
      <w:bodyDiv w:val="1"/>
      <w:marLeft w:val="0"/>
      <w:marRight w:val="0"/>
      <w:marTop w:val="0"/>
      <w:marBottom w:val="0"/>
      <w:divBdr>
        <w:top w:val="none" w:sz="0" w:space="0" w:color="auto"/>
        <w:left w:val="none" w:sz="0" w:space="0" w:color="auto"/>
        <w:bottom w:val="none" w:sz="0" w:space="0" w:color="auto"/>
        <w:right w:val="none" w:sz="0" w:space="0" w:color="auto"/>
      </w:divBdr>
    </w:div>
    <w:div w:id="948702379">
      <w:bodyDiv w:val="1"/>
      <w:marLeft w:val="0"/>
      <w:marRight w:val="0"/>
      <w:marTop w:val="0"/>
      <w:marBottom w:val="0"/>
      <w:divBdr>
        <w:top w:val="none" w:sz="0" w:space="0" w:color="auto"/>
        <w:left w:val="none" w:sz="0" w:space="0" w:color="auto"/>
        <w:bottom w:val="none" w:sz="0" w:space="0" w:color="auto"/>
        <w:right w:val="none" w:sz="0" w:space="0" w:color="auto"/>
      </w:divBdr>
    </w:div>
    <w:div w:id="1029523858">
      <w:bodyDiv w:val="1"/>
      <w:marLeft w:val="0"/>
      <w:marRight w:val="0"/>
      <w:marTop w:val="0"/>
      <w:marBottom w:val="0"/>
      <w:divBdr>
        <w:top w:val="none" w:sz="0" w:space="0" w:color="auto"/>
        <w:left w:val="none" w:sz="0" w:space="0" w:color="auto"/>
        <w:bottom w:val="none" w:sz="0" w:space="0" w:color="auto"/>
        <w:right w:val="none" w:sz="0" w:space="0" w:color="auto"/>
      </w:divBdr>
    </w:div>
    <w:div w:id="1209338698">
      <w:bodyDiv w:val="1"/>
      <w:marLeft w:val="0"/>
      <w:marRight w:val="0"/>
      <w:marTop w:val="0"/>
      <w:marBottom w:val="0"/>
      <w:divBdr>
        <w:top w:val="none" w:sz="0" w:space="0" w:color="auto"/>
        <w:left w:val="none" w:sz="0" w:space="0" w:color="auto"/>
        <w:bottom w:val="none" w:sz="0" w:space="0" w:color="auto"/>
        <w:right w:val="none" w:sz="0" w:space="0" w:color="auto"/>
      </w:divBdr>
    </w:div>
    <w:div w:id="1357081589">
      <w:bodyDiv w:val="1"/>
      <w:marLeft w:val="0"/>
      <w:marRight w:val="0"/>
      <w:marTop w:val="0"/>
      <w:marBottom w:val="0"/>
      <w:divBdr>
        <w:top w:val="none" w:sz="0" w:space="0" w:color="auto"/>
        <w:left w:val="none" w:sz="0" w:space="0" w:color="auto"/>
        <w:bottom w:val="none" w:sz="0" w:space="0" w:color="auto"/>
        <w:right w:val="none" w:sz="0" w:space="0" w:color="auto"/>
      </w:divBdr>
    </w:div>
    <w:div w:id="1366519599">
      <w:bodyDiv w:val="1"/>
      <w:marLeft w:val="0"/>
      <w:marRight w:val="0"/>
      <w:marTop w:val="0"/>
      <w:marBottom w:val="0"/>
      <w:divBdr>
        <w:top w:val="none" w:sz="0" w:space="0" w:color="auto"/>
        <w:left w:val="none" w:sz="0" w:space="0" w:color="auto"/>
        <w:bottom w:val="none" w:sz="0" w:space="0" w:color="auto"/>
        <w:right w:val="none" w:sz="0" w:space="0" w:color="auto"/>
      </w:divBdr>
    </w:div>
    <w:div w:id="1424304674">
      <w:bodyDiv w:val="1"/>
      <w:marLeft w:val="0"/>
      <w:marRight w:val="0"/>
      <w:marTop w:val="0"/>
      <w:marBottom w:val="0"/>
      <w:divBdr>
        <w:top w:val="none" w:sz="0" w:space="0" w:color="auto"/>
        <w:left w:val="none" w:sz="0" w:space="0" w:color="auto"/>
        <w:bottom w:val="none" w:sz="0" w:space="0" w:color="auto"/>
        <w:right w:val="none" w:sz="0" w:space="0" w:color="auto"/>
      </w:divBdr>
    </w:div>
    <w:div w:id="1458064441">
      <w:bodyDiv w:val="1"/>
      <w:marLeft w:val="0"/>
      <w:marRight w:val="0"/>
      <w:marTop w:val="0"/>
      <w:marBottom w:val="0"/>
      <w:divBdr>
        <w:top w:val="none" w:sz="0" w:space="0" w:color="auto"/>
        <w:left w:val="none" w:sz="0" w:space="0" w:color="auto"/>
        <w:bottom w:val="none" w:sz="0" w:space="0" w:color="auto"/>
        <w:right w:val="none" w:sz="0" w:space="0" w:color="auto"/>
      </w:divBdr>
    </w:div>
    <w:div w:id="1514805681">
      <w:bodyDiv w:val="1"/>
      <w:marLeft w:val="0"/>
      <w:marRight w:val="0"/>
      <w:marTop w:val="0"/>
      <w:marBottom w:val="0"/>
      <w:divBdr>
        <w:top w:val="none" w:sz="0" w:space="0" w:color="auto"/>
        <w:left w:val="none" w:sz="0" w:space="0" w:color="auto"/>
        <w:bottom w:val="none" w:sz="0" w:space="0" w:color="auto"/>
        <w:right w:val="none" w:sz="0" w:space="0" w:color="auto"/>
      </w:divBdr>
    </w:div>
    <w:div w:id="1577321418">
      <w:bodyDiv w:val="1"/>
      <w:marLeft w:val="0"/>
      <w:marRight w:val="0"/>
      <w:marTop w:val="0"/>
      <w:marBottom w:val="0"/>
      <w:divBdr>
        <w:top w:val="none" w:sz="0" w:space="0" w:color="auto"/>
        <w:left w:val="none" w:sz="0" w:space="0" w:color="auto"/>
        <w:bottom w:val="none" w:sz="0" w:space="0" w:color="auto"/>
        <w:right w:val="none" w:sz="0" w:space="0" w:color="auto"/>
      </w:divBdr>
    </w:div>
    <w:div w:id="1585216960">
      <w:bodyDiv w:val="1"/>
      <w:marLeft w:val="0"/>
      <w:marRight w:val="0"/>
      <w:marTop w:val="0"/>
      <w:marBottom w:val="0"/>
      <w:divBdr>
        <w:top w:val="none" w:sz="0" w:space="0" w:color="auto"/>
        <w:left w:val="none" w:sz="0" w:space="0" w:color="auto"/>
        <w:bottom w:val="none" w:sz="0" w:space="0" w:color="auto"/>
        <w:right w:val="none" w:sz="0" w:space="0" w:color="auto"/>
      </w:divBdr>
    </w:div>
    <w:div w:id="1617758210">
      <w:bodyDiv w:val="1"/>
      <w:marLeft w:val="0"/>
      <w:marRight w:val="0"/>
      <w:marTop w:val="0"/>
      <w:marBottom w:val="0"/>
      <w:divBdr>
        <w:top w:val="none" w:sz="0" w:space="0" w:color="auto"/>
        <w:left w:val="none" w:sz="0" w:space="0" w:color="auto"/>
        <w:bottom w:val="none" w:sz="0" w:space="0" w:color="auto"/>
        <w:right w:val="none" w:sz="0" w:space="0" w:color="auto"/>
      </w:divBdr>
    </w:div>
    <w:div w:id="1650942557">
      <w:bodyDiv w:val="1"/>
      <w:marLeft w:val="0"/>
      <w:marRight w:val="0"/>
      <w:marTop w:val="0"/>
      <w:marBottom w:val="0"/>
      <w:divBdr>
        <w:top w:val="none" w:sz="0" w:space="0" w:color="auto"/>
        <w:left w:val="none" w:sz="0" w:space="0" w:color="auto"/>
        <w:bottom w:val="none" w:sz="0" w:space="0" w:color="auto"/>
        <w:right w:val="none" w:sz="0" w:space="0" w:color="auto"/>
      </w:divBdr>
    </w:div>
    <w:div w:id="1698845257">
      <w:bodyDiv w:val="1"/>
      <w:marLeft w:val="0"/>
      <w:marRight w:val="0"/>
      <w:marTop w:val="0"/>
      <w:marBottom w:val="0"/>
      <w:divBdr>
        <w:top w:val="none" w:sz="0" w:space="0" w:color="auto"/>
        <w:left w:val="none" w:sz="0" w:space="0" w:color="auto"/>
        <w:bottom w:val="none" w:sz="0" w:space="0" w:color="auto"/>
        <w:right w:val="none" w:sz="0" w:space="0" w:color="auto"/>
      </w:divBdr>
    </w:div>
    <w:div w:id="1709060655">
      <w:bodyDiv w:val="1"/>
      <w:marLeft w:val="0"/>
      <w:marRight w:val="0"/>
      <w:marTop w:val="0"/>
      <w:marBottom w:val="0"/>
      <w:divBdr>
        <w:top w:val="none" w:sz="0" w:space="0" w:color="auto"/>
        <w:left w:val="none" w:sz="0" w:space="0" w:color="auto"/>
        <w:bottom w:val="none" w:sz="0" w:space="0" w:color="auto"/>
        <w:right w:val="none" w:sz="0" w:space="0" w:color="auto"/>
      </w:divBdr>
    </w:div>
    <w:div w:id="1715495919">
      <w:bodyDiv w:val="1"/>
      <w:marLeft w:val="0"/>
      <w:marRight w:val="0"/>
      <w:marTop w:val="0"/>
      <w:marBottom w:val="0"/>
      <w:divBdr>
        <w:top w:val="none" w:sz="0" w:space="0" w:color="auto"/>
        <w:left w:val="none" w:sz="0" w:space="0" w:color="auto"/>
        <w:bottom w:val="none" w:sz="0" w:space="0" w:color="auto"/>
        <w:right w:val="none" w:sz="0" w:space="0" w:color="auto"/>
      </w:divBdr>
    </w:div>
    <w:div w:id="1725912349">
      <w:bodyDiv w:val="1"/>
      <w:marLeft w:val="0"/>
      <w:marRight w:val="0"/>
      <w:marTop w:val="0"/>
      <w:marBottom w:val="0"/>
      <w:divBdr>
        <w:top w:val="none" w:sz="0" w:space="0" w:color="auto"/>
        <w:left w:val="none" w:sz="0" w:space="0" w:color="auto"/>
        <w:bottom w:val="none" w:sz="0" w:space="0" w:color="auto"/>
        <w:right w:val="none" w:sz="0" w:space="0" w:color="auto"/>
      </w:divBdr>
    </w:div>
    <w:div w:id="1798446286">
      <w:bodyDiv w:val="1"/>
      <w:marLeft w:val="0"/>
      <w:marRight w:val="0"/>
      <w:marTop w:val="0"/>
      <w:marBottom w:val="0"/>
      <w:divBdr>
        <w:top w:val="none" w:sz="0" w:space="0" w:color="auto"/>
        <w:left w:val="none" w:sz="0" w:space="0" w:color="auto"/>
        <w:bottom w:val="none" w:sz="0" w:space="0" w:color="auto"/>
        <w:right w:val="none" w:sz="0" w:space="0" w:color="auto"/>
      </w:divBdr>
    </w:div>
    <w:div w:id="1800487591">
      <w:bodyDiv w:val="1"/>
      <w:marLeft w:val="0"/>
      <w:marRight w:val="0"/>
      <w:marTop w:val="0"/>
      <w:marBottom w:val="0"/>
      <w:divBdr>
        <w:top w:val="none" w:sz="0" w:space="0" w:color="auto"/>
        <w:left w:val="none" w:sz="0" w:space="0" w:color="auto"/>
        <w:bottom w:val="none" w:sz="0" w:space="0" w:color="auto"/>
        <w:right w:val="none" w:sz="0" w:space="0" w:color="auto"/>
      </w:divBdr>
    </w:div>
    <w:div w:id="1889954865">
      <w:bodyDiv w:val="1"/>
      <w:marLeft w:val="0"/>
      <w:marRight w:val="0"/>
      <w:marTop w:val="0"/>
      <w:marBottom w:val="0"/>
      <w:divBdr>
        <w:top w:val="none" w:sz="0" w:space="0" w:color="auto"/>
        <w:left w:val="none" w:sz="0" w:space="0" w:color="auto"/>
        <w:bottom w:val="none" w:sz="0" w:space="0" w:color="auto"/>
        <w:right w:val="none" w:sz="0" w:space="0" w:color="auto"/>
      </w:divBdr>
    </w:div>
    <w:div w:id="1890796141">
      <w:bodyDiv w:val="1"/>
      <w:marLeft w:val="0"/>
      <w:marRight w:val="0"/>
      <w:marTop w:val="0"/>
      <w:marBottom w:val="0"/>
      <w:divBdr>
        <w:top w:val="none" w:sz="0" w:space="0" w:color="auto"/>
        <w:left w:val="none" w:sz="0" w:space="0" w:color="auto"/>
        <w:bottom w:val="none" w:sz="0" w:space="0" w:color="auto"/>
        <w:right w:val="none" w:sz="0" w:space="0" w:color="auto"/>
      </w:divBdr>
    </w:div>
    <w:div w:id="2029091873">
      <w:bodyDiv w:val="1"/>
      <w:marLeft w:val="0"/>
      <w:marRight w:val="0"/>
      <w:marTop w:val="0"/>
      <w:marBottom w:val="0"/>
      <w:divBdr>
        <w:top w:val="none" w:sz="0" w:space="0" w:color="auto"/>
        <w:left w:val="none" w:sz="0" w:space="0" w:color="auto"/>
        <w:bottom w:val="none" w:sz="0" w:space="0" w:color="auto"/>
        <w:right w:val="none" w:sz="0" w:space="0" w:color="auto"/>
      </w:divBdr>
    </w:div>
    <w:div w:id="2064213350">
      <w:bodyDiv w:val="1"/>
      <w:marLeft w:val="0"/>
      <w:marRight w:val="0"/>
      <w:marTop w:val="0"/>
      <w:marBottom w:val="0"/>
      <w:divBdr>
        <w:top w:val="none" w:sz="0" w:space="0" w:color="auto"/>
        <w:left w:val="none" w:sz="0" w:space="0" w:color="auto"/>
        <w:bottom w:val="none" w:sz="0" w:space="0" w:color="auto"/>
        <w:right w:val="none" w:sz="0" w:space="0" w:color="auto"/>
      </w:divBdr>
    </w:div>
    <w:div w:id="2071225615">
      <w:bodyDiv w:val="1"/>
      <w:marLeft w:val="0"/>
      <w:marRight w:val="0"/>
      <w:marTop w:val="0"/>
      <w:marBottom w:val="0"/>
      <w:divBdr>
        <w:top w:val="none" w:sz="0" w:space="0" w:color="auto"/>
        <w:left w:val="none" w:sz="0" w:space="0" w:color="auto"/>
        <w:bottom w:val="none" w:sz="0" w:space="0" w:color="auto"/>
        <w:right w:val="none" w:sz="0" w:space="0" w:color="auto"/>
      </w:divBdr>
    </w:div>
    <w:div w:id="21033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lcode.delaware.gov/title29/c069/sc06/index.shtml" TargetMode="External"/><Relationship Id="rId18" Type="http://schemas.openxmlformats.org/officeDocument/2006/relationships/hyperlink" Target="mailto:Treasury_RFP@delaware.gov"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Treasury_RFP@delaware.gov" TargetMode="External"/><Relationship Id="rId7" Type="http://schemas.openxmlformats.org/officeDocument/2006/relationships/settings" Target="settings.xml"/><Relationship Id="rId12" Type="http://schemas.openxmlformats.org/officeDocument/2006/relationships/hyperlink" Target="http://bids.delaware.gov" TargetMode="External"/><Relationship Id="rId17" Type="http://schemas.openxmlformats.org/officeDocument/2006/relationships/hyperlink" Target="http://bids.delaware.gov/"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nast.org" TargetMode="External"/><Relationship Id="rId20" Type="http://schemas.openxmlformats.org/officeDocument/2006/relationships/hyperlink" Target="http://delcode.delaware.gov/title29/c100/index.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asury_RFP@delaware.gov"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reasurer.delaware.gov/requests-proposals/" TargetMode="External"/><Relationship Id="rId23" Type="http://schemas.openxmlformats.org/officeDocument/2006/relationships/footer" Target="footer1.xm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calvertd@pfm.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ds.delaware.gov/" TargetMode="External"/><Relationship Id="rId22" Type="http://schemas.openxmlformats.org/officeDocument/2006/relationships/hyperlink" Target="https://dti.delaware.gov/information/standards-policies.shtml" TargetMode="External"/><Relationship Id="rId27" Type="http://schemas.openxmlformats.org/officeDocument/2006/relationships/hyperlink" Target="https://dti.delaware.gov/information/standards-policies.shtml"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PFM Branding Colors">
      <a:dk1>
        <a:srgbClr val="000000"/>
      </a:dk1>
      <a:lt1>
        <a:srgbClr val="FFFFFF"/>
      </a:lt1>
      <a:dk2>
        <a:srgbClr val="373637"/>
      </a:dk2>
      <a:lt2>
        <a:srgbClr val="FFFFFF"/>
      </a:lt2>
      <a:accent1>
        <a:srgbClr val="C7B8A4"/>
      </a:accent1>
      <a:accent2>
        <a:srgbClr val="3E6BB3"/>
      </a:accent2>
      <a:accent3>
        <a:srgbClr val="FFD051"/>
      </a:accent3>
      <a:accent4>
        <a:srgbClr val="F49B48"/>
      </a:accent4>
      <a:accent5>
        <a:srgbClr val="E97162"/>
      </a:accent5>
      <a:accent6>
        <a:srgbClr val="4BB370"/>
      </a:accent6>
      <a:hlink>
        <a:srgbClr val="3E6BB3"/>
      </a:hlink>
      <a:folHlink>
        <a:srgbClr val="878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26471348204F833C0212133892B2" ma:contentTypeVersion="0" ma:contentTypeDescription="Create a new document." ma:contentTypeScope="" ma:versionID="054360389b0000d4ccb92e2141e81f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90CD-3354-419E-B8EB-8FA404F1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25B44-D9DE-4C4F-8EE6-66B9CADE0CC3}">
  <ds:schemaRefs>
    <ds:schemaRef ds:uri="http://schemas.microsoft.com/sharepoint/v3/contenttype/forms"/>
  </ds:schemaRefs>
</ds:datastoreItem>
</file>

<file path=customXml/itemProps3.xml><?xml version="1.0" encoding="utf-8"?>
<ds:datastoreItem xmlns:ds="http://schemas.openxmlformats.org/officeDocument/2006/customXml" ds:itemID="{4DE11D84-EA2E-4D17-8EFF-08626AA2792B}">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6ADB66E-A96F-4868-91BD-5A5F9D89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71</Pages>
  <Words>26854</Words>
  <Characters>153072</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179567</CharactersWithSpaces>
  <SharedDoc>false</SharedDoc>
  <HLinks>
    <vt:vector size="48" baseType="variant">
      <vt:variant>
        <vt:i4>2752565</vt:i4>
      </vt:variant>
      <vt:variant>
        <vt:i4>21</vt:i4>
      </vt:variant>
      <vt:variant>
        <vt:i4>0</vt:i4>
      </vt:variant>
      <vt:variant>
        <vt:i4>5</vt:i4>
      </vt:variant>
      <vt:variant>
        <vt:lpwstr>http://treasurer.delaware.gov/</vt:lpwstr>
      </vt:variant>
      <vt:variant>
        <vt:lpwstr/>
      </vt:variant>
      <vt:variant>
        <vt:i4>1179654</vt:i4>
      </vt:variant>
      <vt:variant>
        <vt:i4>18</vt:i4>
      </vt:variant>
      <vt:variant>
        <vt:i4>0</vt:i4>
      </vt:variant>
      <vt:variant>
        <vt:i4>5</vt:i4>
      </vt:variant>
      <vt:variant>
        <vt:lpwstr>http://www.bids.delaware.gov/</vt:lpwstr>
      </vt:variant>
      <vt:variant>
        <vt:lpwstr/>
      </vt:variant>
      <vt:variant>
        <vt:i4>5046356</vt:i4>
      </vt:variant>
      <vt:variant>
        <vt:i4>15</vt:i4>
      </vt:variant>
      <vt:variant>
        <vt:i4>0</vt:i4>
      </vt:variant>
      <vt:variant>
        <vt:i4>5</vt:i4>
      </vt:variant>
      <vt:variant>
        <vt:lpwstr>http://delcode.delaware.gov/title29/c100/index.shtml</vt:lpwstr>
      </vt:variant>
      <vt:variant>
        <vt:lpwstr/>
      </vt:variant>
      <vt:variant>
        <vt:i4>2752620</vt:i4>
      </vt:variant>
      <vt:variant>
        <vt:i4>12</vt:i4>
      </vt:variant>
      <vt:variant>
        <vt:i4>0</vt:i4>
      </vt:variant>
      <vt:variant>
        <vt:i4>5</vt:i4>
      </vt:variant>
      <vt:variant>
        <vt:lpwstr>http://www.treasurer.delaware.gov/</vt:lpwstr>
      </vt:variant>
      <vt:variant>
        <vt:lpwstr/>
      </vt:variant>
      <vt:variant>
        <vt:i4>1179654</vt:i4>
      </vt:variant>
      <vt:variant>
        <vt:i4>9</vt:i4>
      </vt:variant>
      <vt:variant>
        <vt:i4>0</vt:i4>
      </vt:variant>
      <vt:variant>
        <vt:i4>5</vt:i4>
      </vt:variant>
      <vt:variant>
        <vt:lpwstr>http://www.bids.delaware.gov/</vt:lpwstr>
      </vt:variant>
      <vt:variant>
        <vt:lpwstr/>
      </vt:variant>
      <vt:variant>
        <vt:i4>2752565</vt:i4>
      </vt:variant>
      <vt:variant>
        <vt:i4>6</vt:i4>
      </vt:variant>
      <vt:variant>
        <vt:i4>0</vt:i4>
      </vt:variant>
      <vt:variant>
        <vt:i4>5</vt:i4>
      </vt:variant>
      <vt:variant>
        <vt:lpwstr>http://treasurer.delaware.gov/</vt:lpwstr>
      </vt:variant>
      <vt:variant>
        <vt:lpwstr/>
      </vt:variant>
      <vt:variant>
        <vt:i4>1179654</vt:i4>
      </vt:variant>
      <vt:variant>
        <vt:i4>3</vt:i4>
      </vt:variant>
      <vt:variant>
        <vt:i4>0</vt:i4>
      </vt:variant>
      <vt:variant>
        <vt:i4>5</vt:i4>
      </vt:variant>
      <vt:variant>
        <vt:lpwstr>http://www.bids.delaware.gov/</vt:lpwstr>
      </vt:variant>
      <vt:variant>
        <vt:lpwstr/>
      </vt:variant>
      <vt:variant>
        <vt:i4>2031707</vt:i4>
      </vt:variant>
      <vt:variant>
        <vt:i4>0</vt:i4>
      </vt:variant>
      <vt:variant>
        <vt:i4>0</vt:i4>
      </vt:variant>
      <vt:variant>
        <vt:i4>5</vt:i4>
      </vt:variant>
      <vt:variant>
        <vt:lpwstr>http://delcode.delaware.gov/title29/c069/sc06/index.shtml</vt:lpwstr>
      </vt:variant>
      <vt:variant>
        <vt:lpwstr>6981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subject/>
  <dc:creator>Windows User</dc:creator>
  <cp:keywords/>
  <dc:description/>
  <cp:lastModifiedBy>Berkow, Joshua (OST)</cp:lastModifiedBy>
  <cp:revision>13</cp:revision>
  <cp:lastPrinted>2019-03-07T18:13:00Z</cp:lastPrinted>
  <dcterms:created xsi:type="dcterms:W3CDTF">2019-03-08T16:53:00Z</dcterms:created>
  <dcterms:modified xsi:type="dcterms:W3CDTF">2019-03-08T18:29:00Z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0x010100A0D126471348204F833C0212133892B2</vt:lpwstr>
  </property>
</Properties>
</file>