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354"/>
        <w:gridCol w:w="5121"/>
      </w:tblGrid>
      <w:tr w:rsidR="00843B3F" w:rsidRPr="00843B3F" w:rsidTr="008828DE">
        <w:trPr>
          <w:cantSplit/>
          <w:trHeight w:hRule="exact" w:val="1559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F" w:rsidRPr="00843B3F" w:rsidRDefault="00843B3F" w:rsidP="00843B3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3B5A35" wp14:editId="7A0076F2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F" w:rsidRPr="00843B3F" w:rsidRDefault="00843B3F" w:rsidP="0084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7EE01DFE" wp14:editId="76EB91AE">
                  <wp:extent cx="1790700" cy="285750"/>
                  <wp:effectExtent l="0" t="0" r="0" b="0"/>
                  <wp:docPr id="1" name="Picture 1" descr="DH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B3F" w:rsidRPr="00843B3F" w:rsidRDefault="00843B3F" w:rsidP="0084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3B3F" w:rsidRDefault="00843B3F" w:rsidP="0084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24"/>
              </w:rPr>
            </w:pPr>
          </w:p>
          <w:p w:rsidR="0003147E" w:rsidRPr="00843B3F" w:rsidRDefault="0003147E" w:rsidP="0084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24"/>
              </w:rPr>
            </w:pPr>
          </w:p>
          <w:p w:rsidR="00843B3F" w:rsidRPr="00843B3F" w:rsidRDefault="00843B3F" w:rsidP="00843B3F">
            <w:pPr>
              <w:spacing w:after="0" w:line="160" w:lineRule="exact"/>
              <w:jc w:val="center"/>
              <w:rPr>
                <w:rFonts w:ascii="Arial" w:eastAsia="Times New Roman" w:hAnsi="Arial" w:cs="Arial"/>
                <w:color w:val="000000"/>
                <w:spacing w:val="6"/>
                <w:sz w:val="1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of State Service Centers, Office of Community Services</w:t>
            </w:r>
          </w:p>
        </w:tc>
        <w:tc>
          <w:tcPr>
            <w:tcW w:w="5121" w:type="dxa"/>
            <w:tcBorders>
              <w:left w:val="single" w:sz="4" w:space="0" w:color="auto"/>
            </w:tcBorders>
            <w:vAlign w:val="center"/>
          </w:tcPr>
          <w:p w:rsidR="00843B3F" w:rsidRDefault="00843B3F" w:rsidP="00843B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FAMILY VISITATION PROGRAM</w:t>
            </w:r>
          </w:p>
          <w:p w:rsidR="0003147E" w:rsidRDefault="00843B3F" w:rsidP="00843B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 xml:space="preserve">SLIDING </w:t>
            </w:r>
            <w:r w:rsidR="0003147E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SCALE SERVICE</w:t>
            </w:r>
          </w:p>
          <w:p w:rsidR="00843B3F" w:rsidRPr="00843B3F" w:rsidRDefault="00843B3F" w:rsidP="00843B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FEE SCHEDULE</w:t>
            </w:r>
          </w:p>
          <w:p w:rsidR="00843B3F" w:rsidRPr="00843B3F" w:rsidRDefault="00843B3F" w:rsidP="00843B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C11BC0" w:rsidRDefault="00C11BC0"/>
    <w:p w:rsidR="005327D8" w:rsidRPr="005327D8" w:rsidRDefault="005327D8" w:rsidP="005327D8">
      <w:pPr>
        <w:spacing w:after="0" w:line="240" w:lineRule="auto"/>
        <w:ind w:left="135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43B3F">
        <w:rPr>
          <w:rFonts w:ascii="Times New Roman" w:eastAsia="Times New Roman" w:hAnsi="Times New Roman" w:cs="Times New Roman"/>
          <w:bCs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Vendor</w:t>
      </w:r>
      <w:r w:rsidRPr="00843B3F">
        <w:rPr>
          <w:rFonts w:ascii="Times New Roman" w:eastAsia="Times New Roman" w:hAnsi="Times New Roman" w:cs="Times New Roman"/>
          <w:bCs/>
          <w:sz w:val="24"/>
          <w:szCs w:val="20"/>
        </w:rPr>
        <w:t xml:space="preserve"> will collect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at a minimum, the following service </w:t>
      </w:r>
      <w:r w:rsidRPr="00843B3F">
        <w:rPr>
          <w:rFonts w:ascii="Times New Roman" w:eastAsia="Times New Roman" w:hAnsi="Times New Roman" w:cs="Times New Roman"/>
          <w:bCs/>
          <w:sz w:val="24"/>
          <w:szCs w:val="20"/>
        </w:rPr>
        <w:t>fees from the visiting parent(s)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or to parties as dictated by The Family Court, </w:t>
      </w:r>
      <w:r w:rsidRPr="00843B3F">
        <w:rPr>
          <w:rFonts w:ascii="Times New Roman" w:eastAsia="Times New Roman" w:hAnsi="Times New Roman" w:cs="Times New Roman"/>
          <w:bCs/>
          <w:sz w:val="24"/>
          <w:szCs w:val="20"/>
        </w:rPr>
        <w:t>according to the sliding scale fee schedule listed below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.    </w:t>
      </w:r>
      <w:r w:rsidRPr="005327D8">
        <w:rPr>
          <w:rFonts w:ascii="Times New Roman" w:eastAsia="Times New Roman" w:hAnsi="Times New Roman" w:cs="Times New Roman"/>
          <w:bCs/>
          <w:sz w:val="24"/>
          <w:szCs w:val="20"/>
        </w:rPr>
        <w:t xml:space="preserve">The Vendor may allow exceptions to the collections of fees on an individual case-by case basis.  Reasons for exceptions should be documented appropriately.  </w:t>
      </w:r>
      <w:r w:rsidRPr="005327D8">
        <w:rPr>
          <w:rFonts w:ascii="Times New Roman" w:eastAsia="Times New Roman" w:hAnsi="Times New Roman" w:cs="Times New Roman"/>
          <w:b/>
          <w:bCs/>
          <w:sz w:val="24"/>
          <w:szCs w:val="20"/>
        </w:rPr>
        <w:t>Exceptions must not deviate from any Court Order requirement regarding the payment of fees.</w:t>
      </w:r>
    </w:p>
    <w:p w:rsidR="00843B3F" w:rsidRDefault="00843B3F" w:rsidP="0003147E">
      <w:pPr>
        <w:spacing w:after="0" w:line="240" w:lineRule="auto"/>
        <w:ind w:left="360" w:right="-180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43B3F" w:rsidRDefault="00843B3F" w:rsidP="00843B3F">
      <w:pPr>
        <w:spacing w:after="0" w:line="240" w:lineRule="auto"/>
        <w:ind w:left="360" w:right="-180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leGrid"/>
        <w:tblW w:w="5000" w:type="pct"/>
        <w:tblInd w:w="40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0C6D" w:rsidTr="005327D8">
        <w:trPr>
          <w:trHeight w:val="575"/>
        </w:trPr>
        <w:tc>
          <w:tcPr>
            <w:tcW w:w="5000" w:type="pct"/>
            <w:gridSpan w:val="4"/>
          </w:tcPr>
          <w:p w:rsidR="00AB0C6D" w:rsidRDefault="00AB0C6D" w:rsidP="00AB0C6D">
            <w:pPr>
              <w:ind w:right="-18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SLIDING SCALE FEE SCHEDULE</w:t>
            </w:r>
          </w:p>
        </w:tc>
      </w:tr>
      <w:tr w:rsidR="00843B3F" w:rsidTr="005327D8">
        <w:trPr>
          <w:trHeight w:val="575"/>
        </w:trPr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Annual Income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Monitored Exchange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On-site Group </w:t>
            </w:r>
          </w:p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Visitation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On-site Individual</w:t>
            </w:r>
          </w:p>
          <w:p w:rsidR="00843B3F" w:rsidRDefault="00843B3F" w:rsidP="00843B3F">
            <w:pPr>
              <w:ind w:right="-18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Visitation</w:t>
            </w:r>
          </w:p>
        </w:tc>
      </w:tr>
      <w:tr w:rsidR="00843B3F" w:rsidTr="005327D8"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$0 - $19,999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$4.00</w:t>
            </w: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ab/>
            </w:r>
          </w:p>
        </w:tc>
        <w:tc>
          <w:tcPr>
            <w:tcW w:w="1250" w:type="pct"/>
          </w:tcPr>
          <w:p w:rsidR="00843B3F" w:rsidRDefault="00843B3F" w:rsidP="0003147E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$12.00</w:t>
            </w: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ab/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$14.00</w:t>
            </w:r>
          </w:p>
        </w:tc>
      </w:tr>
      <w:tr w:rsidR="00843B3F" w:rsidTr="005327D8"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$20,000 - $24,999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$8.00</w:t>
            </w:r>
          </w:p>
        </w:tc>
        <w:tc>
          <w:tcPr>
            <w:tcW w:w="1250" w:type="pct"/>
          </w:tcPr>
          <w:p w:rsidR="00843B3F" w:rsidRDefault="00843B3F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$18.00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$24.00</w:t>
            </w:r>
          </w:p>
        </w:tc>
      </w:tr>
      <w:tr w:rsidR="00843B3F" w:rsidTr="005327D8"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$25,000 - $29,999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$10.00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$26.00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$30.00</w:t>
            </w:r>
          </w:p>
        </w:tc>
      </w:tr>
      <w:tr w:rsidR="00843B3F" w:rsidTr="005327D8"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$30,000 - $34,999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$14.00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$34.00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$40.00</w:t>
            </w:r>
          </w:p>
        </w:tc>
      </w:tr>
      <w:tr w:rsidR="00843B3F" w:rsidTr="005327D8"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$35,000 - $49,999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$18.00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$42.00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$50.00</w:t>
            </w:r>
          </w:p>
        </w:tc>
      </w:tr>
      <w:tr w:rsidR="00843B3F" w:rsidTr="005327D8"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$50,000 +                          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$20.00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$50.00</w:t>
            </w:r>
          </w:p>
        </w:tc>
        <w:tc>
          <w:tcPr>
            <w:tcW w:w="1250" w:type="pct"/>
          </w:tcPr>
          <w:p w:rsidR="00843B3F" w:rsidRDefault="0003147E" w:rsidP="00843B3F">
            <w:pPr>
              <w:ind w:right="-18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3B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$60.00</w:t>
            </w:r>
          </w:p>
        </w:tc>
      </w:tr>
    </w:tbl>
    <w:p w:rsidR="0003147E" w:rsidRDefault="0003147E" w:rsidP="0003147E">
      <w:pPr>
        <w:spacing w:after="0" w:line="240" w:lineRule="auto"/>
        <w:ind w:left="360" w:right="-180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03147E" w:rsidRDefault="0003147E" w:rsidP="0003147E">
      <w:pPr>
        <w:spacing w:after="0" w:line="240" w:lineRule="auto"/>
        <w:ind w:left="360" w:right="-180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sectPr w:rsidR="00031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EE" w:rsidRDefault="00CE76EE" w:rsidP="0003147E">
      <w:pPr>
        <w:spacing w:after="0" w:line="240" w:lineRule="auto"/>
      </w:pPr>
      <w:r>
        <w:separator/>
      </w:r>
    </w:p>
  </w:endnote>
  <w:endnote w:type="continuationSeparator" w:id="0">
    <w:p w:rsidR="00CE76EE" w:rsidRDefault="00CE76EE" w:rsidP="000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8B" w:rsidRDefault="004E0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7E" w:rsidRPr="0003147E" w:rsidRDefault="0003147E" w:rsidP="0003147E">
    <w:pPr>
      <w:tabs>
        <w:tab w:val="center" w:pos="4320"/>
        <w:tab w:val="right" w:pos="8640"/>
      </w:tabs>
      <w:spacing w:after="0" w:line="240" w:lineRule="auto"/>
      <w:ind w:right="360"/>
      <w:rPr>
        <w:rFonts w:ascii="Arial" w:eastAsia="Times New Roman" w:hAnsi="Arial" w:cs="Arial"/>
        <w:color w:val="A6A6A6"/>
        <w:sz w:val="16"/>
        <w:szCs w:val="16"/>
      </w:rPr>
    </w:pPr>
    <w:r w:rsidRPr="0003147E">
      <w:rPr>
        <w:rFonts w:ascii="Arial" w:eastAsia="Times New Roman" w:hAnsi="Arial" w:cs="Arial"/>
        <w:color w:val="A6A6A6"/>
        <w:sz w:val="16"/>
        <w:szCs w:val="16"/>
      </w:rPr>
      <w:t xml:space="preserve">_____________________________        </w:t>
    </w:r>
    <w:r w:rsidRPr="0003147E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</w:t>
    </w:r>
  </w:p>
  <w:p w:rsidR="0003147E" w:rsidRPr="0003147E" w:rsidRDefault="0003147E" w:rsidP="0003147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Sliding Scale Fee Schedule</w:t>
    </w:r>
  </w:p>
  <w:p w:rsidR="0003147E" w:rsidRPr="0003147E" w:rsidRDefault="0003147E" w:rsidP="0003147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Revised</w:t>
    </w:r>
    <w:r w:rsidRPr="0003147E">
      <w:rPr>
        <w:rFonts w:ascii="Arial" w:eastAsia="Times New Roman" w:hAnsi="Arial" w:cs="Arial"/>
        <w:sz w:val="16"/>
        <w:szCs w:val="16"/>
      </w:rPr>
      <w:t>:  /2016</w:t>
    </w:r>
  </w:p>
  <w:p w:rsidR="0003147E" w:rsidRPr="0003147E" w:rsidRDefault="0003147E" w:rsidP="0003147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:rsidR="0003147E" w:rsidRDefault="00031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8B" w:rsidRDefault="004E0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EE" w:rsidRDefault="00CE76EE" w:rsidP="0003147E">
      <w:pPr>
        <w:spacing w:after="0" w:line="240" w:lineRule="auto"/>
      </w:pPr>
      <w:r>
        <w:separator/>
      </w:r>
    </w:p>
  </w:footnote>
  <w:footnote w:type="continuationSeparator" w:id="0">
    <w:p w:rsidR="00CE76EE" w:rsidRDefault="00CE76EE" w:rsidP="000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8B" w:rsidRDefault="004E0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8B" w:rsidRDefault="004E0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8B" w:rsidRDefault="004E0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94C"/>
    <w:multiLevelType w:val="hybridMultilevel"/>
    <w:tmpl w:val="9050CC46"/>
    <w:lvl w:ilvl="0" w:tplc="6FF8FCAA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47281B24"/>
    <w:multiLevelType w:val="hybridMultilevel"/>
    <w:tmpl w:val="D47AEA16"/>
    <w:lvl w:ilvl="0" w:tplc="15A48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9E29B8"/>
    <w:multiLevelType w:val="hybridMultilevel"/>
    <w:tmpl w:val="C382DB04"/>
    <w:lvl w:ilvl="0" w:tplc="3612D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F"/>
    <w:rsid w:val="0003147E"/>
    <w:rsid w:val="001B441A"/>
    <w:rsid w:val="00326BD1"/>
    <w:rsid w:val="004E028B"/>
    <w:rsid w:val="005327D8"/>
    <w:rsid w:val="006C28B2"/>
    <w:rsid w:val="00843B3F"/>
    <w:rsid w:val="00AB0C6D"/>
    <w:rsid w:val="00C11BC0"/>
    <w:rsid w:val="00C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10CD20D-471D-4F60-9111-56BBCBB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7E"/>
  </w:style>
  <w:style w:type="paragraph" w:styleId="Footer">
    <w:name w:val="footer"/>
    <w:basedOn w:val="Normal"/>
    <w:link w:val="FooterChar"/>
    <w:uiPriority w:val="99"/>
    <w:unhideWhenUsed/>
    <w:rsid w:val="0003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7E"/>
  </w:style>
  <w:style w:type="paragraph" w:styleId="ListParagraph">
    <w:name w:val="List Paragraph"/>
    <w:basedOn w:val="Normal"/>
    <w:uiPriority w:val="34"/>
    <w:qFormat/>
    <w:rsid w:val="00AB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BDC6-A987-4B4B-BF67-43590FB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karen.records</dc:creator>
  <cp:lastModifiedBy>McClain, Ceasar (DHSS)</cp:lastModifiedBy>
  <cp:revision>5</cp:revision>
  <dcterms:created xsi:type="dcterms:W3CDTF">2016-10-14T14:30:00Z</dcterms:created>
  <dcterms:modified xsi:type="dcterms:W3CDTF">2017-01-05T19:29:00Z</dcterms:modified>
</cp:coreProperties>
</file>