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E1" w:rsidRDefault="00197AE1" w:rsidP="009672A6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2"/>
          <w:lang w:eastAsia="x-none"/>
        </w:rPr>
      </w:pPr>
      <w:r w:rsidRPr="00197AE1">
        <w:rPr>
          <w:rFonts w:ascii="Arial" w:hAnsi="Arial"/>
          <w:b/>
          <w:spacing w:val="-3"/>
          <w:sz w:val="22"/>
          <w:lang w:eastAsia="x-none"/>
        </w:rPr>
        <w:t xml:space="preserve">GSS19363-ARMEDSECURITY </w:t>
      </w:r>
      <w:bookmarkStart w:id="0" w:name="_GoBack"/>
      <w:bookmarkEnd w:id="0"/>
    </w:p>
    <w:p w:rsidR="009672A6" w:rsidRPr="009E72E3" w:rsidRDefault="009672A6" w:rsidP="009672A6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pacing w:val="-3"/>
          <w:sz w:val="22"/>
          <w:lang w:eastAsia="x-none"/>
        </w:rPr>
      </w:pPr>
      <w:r w:rsidRPr="00DD1344">
        <w:rPr>
          <w:rFonts w:ascii="Arial" w:hAnsi="Arial"/>
          <w:b/>
          <w:spacing w:val="-3"/>
          <w:sz w:val="22"/>
          <w:lang w:val="x-none" w:eastAsia="x-none"/>
        </w:rPr>
        <w:t xml:space="preserve">APPENDIX </w:t>
      </w:r>
      <w:r>
        <w:rPr>
          <w:rFonts w:ascii="Arial" w:hAnsi="Arial"/>
          <w:b/>
          <w:spacing w:val="-3"/>
          <w:sz w:val="22"/>
          <w:lang w:eastAsia="x-none"/>
        </w:rPr>
        <w:t>C – Pricing Table by Location/ Type</w:t>
      </w:r>
    </w:p>
    <w:tbl>
      <w:tblPr>
        <w:tblStyle w:val="TableGrid"/>
        <w:tblpPr w:leftFromText="180" w:rightFromText="180" w:vertAnchor="text" w:horzAnchor="margin" w:tblpXSpec="center" w:tblpY="152"/>
        <w:tblW w:w="10795" w:type="dxa"/>
        <w:tblLook w:val="04A0" w:firstRow="1" w:lastRow="0" w:firstColumn="1" w:lastColumn="0" w:noHBand="0" w:noVBand="1"/>
      </w:tblPr>
      <w:tblGrid>
        <w:gridCol w:w="2875"/>
        <w:gridCol w:w="7920"/>
      </w:tblGrid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VENDOR NAME: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CITY, STATE, ZIP CODE: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72A6" w:rsidRPr="009E72E3" w:rsidTr="009672A6">
        <w:trPr>
          <w:trHeight w:val="300"/>
        </w:trPr>
        <w:tc>
          <w:tcPr>
            <w:tcW w:w="2875" w:type="dxa"/>
            <w:noWrap/>
            <w:hideMark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0A67E5">
              <w:rPr>
                <w:rFonts w:cs="Times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920" w:type="dxa"/>
            <w:shd w:val="clear" w:color="auto" w:fill="FFE599" w:themeFill="accent4" w:themeFillTint="66"/>
            <w:noWrap/>
          </w:tcPr>
          <w:p w:rsidR="009672A6" w:rsidRPr="000A67E5" w:rsidRDefault="009672A6" w:rsidP="009672A6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9672A6" w:rsidRDefault="009672A6" w:rsidP="009672A6">
      <w:pPr>
        <w:tabs>
          <w:tab w:val="left" w:pos="-720"/>
        </w:tabs>
        <w:suppressAutoHyphens/>
        <w:jc w:val="center"/>
        <w:rPr>
          <w:sz w:val="20"/>
        </w:rPr>
      </w:pPr>
      <w:r>
        <w:rPr>
          <w:rFonts w:cs="Times"/>
          <w:b/>
          <w:bCs/>
        </w:rPr>
        <w:fldChar w:fldCharType="begin"/>
      </w:r>
      <w:r>
        <w:rPr>
          <w:rFonts w:cs="Times"/>
          <w:b/>
          <w:bCs/>
        </w:rPr>
        <w:instrText xml:space="preserve"> LINK Excel.Sheet.12 "http://bidcondocs.delaware.gov/GSS/GSS_18208_PS.xlsx" " Vendor Info!R6C1:R12C2" \a \f 5 \h  \* MERGEFORMAT </w:instrText>
      </w:r>
      <w:r>
        <w:rPr>
          <w:rFonts w:cs="Times"/>
          <w:b/>
          <w:bCs/>
        </w:rPr>
        <w:fldChar w:fldCharType="separate"/>
      </w:r>
    </w:p>
    <w:p w:rsidR="009672A6" w:rsidRDefault="009672A6" w:rsidP="009672A6">
      <w:pPr>
        <w:tabs>
          <w:tab w:val="left" w:pos="-720"/>
        </w:tabs>
        <w:suppressAutoHyphens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2911"/>
        <w:gridCol w:w="1881"/>
        <w:gridCol w:w="1881"/>
        <w:gridCol w:w="1877"/>
      </w:tblGrid>
      <w:tr w:rsidR="009672A6" w:rsidTr="00EB019B">
        <w:tc>
          <w:tcPr>
            <w:tcW w:w="10790" w:type="dxa"/>
            <w:gridSpan w:val="5"/>
            <w:shd w:val="clear" w:color="auto" w:fill="C5E0B3" w:themeFill="accent6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TIER 1 – Military Facility Armed Security Officer (MFASO – 1)</w:t>
            </w: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SITE (Line)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6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6/30/2020)</w:t>
            </w:r>
          </w:p>
        </w:tc>
        <w:tc>
          <w:tcPr>
            <w:tcW w:w="216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6/30/2021)</w:t>
            </w:r>
          </w:p>
        </w:tc>
        <w:tc>
          <w:tcPr>
            <w:tcW w:w="215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6/30/2022)</w:t>
            </w: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DNG- Joint Forces HQ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DNG – Army Aviation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DNG – USP&amp;FO/ RRTS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DNG – RTI/ BBTS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  <w:shd w:val="clear" w:color="auto" w:fill="000000" w:themeFill="text1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000000" w:themeFill="text1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DE Air National Guard Yellow Ribbon Events</w:t>
            </w:r>
            <w:r>
              <w:rPr>
                <w:rFonts w:cs="Times"/>
                <w:b/>
                <w:bCs/>
                <w:sz w:val="22"/>
                <w:szCs w:val="22"/>
              </w:rPr>
              <w:t xml:space="preserve"> (offsite)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10790" w:type="dxa"/>
            <w:gridSpan w:val="5"/>
            <w:shd w:val="clear" w:color="auto" w:fill="F7CAAC" w:themeFill="accent2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TIER 2 - Armed Security Officer (ASO-2)</w:t>
            </w: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SITE</w:t>
            </w:r>
          </w:p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(Line)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6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6/30/2020)</w:t>
            </w:r>
          </w:p>
        </w:tc>
        <w:tc>
          <w:tcPr>
            <w:tcW w:w="216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6/30/2021)</w:t>
            </w:r>
          </w:p>
        </w:tc>
        <w:tc>
          <w:tcPr>
            <w:tcW w:w="215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BILL RATE (Through 6/30/2022)</w:t>
            </w:r>
          </w:p>
        </w:tc>
      </w:tr>
      <w:tr w:rsidR="009672A6" w:rsidTr="00EB019B">
        <w:trPr>
          <w:trHeight w:val="278"/>
        </w:trPr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Kent County Levy Court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rPr>
          <w:trHeight w:val="305"/>
        </w:trPr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NC Clerk of the Peace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TASC- Wilmington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Sussex County Admin Building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10" w:type="dxa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Mortgage Mediation (both sites)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9672A6" w:rsidTr="00EB019B">
        <w:tc>
          <w:tcPr>
            <w:tcW w:w="80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10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Emergency Upgrade to Armed Security for Unarmed Site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9672A6" w:rsidRDefault="009672A6" w:rsidP="009672A6">
      <w:pPr>
        <w:tabs>
          <w:tab w:val="left" w:pos="-720"/>
        </w:tabs>
        <w:suppressAutoHyphens/>
        <w:jc w:val="center"/>
        <w:rPr>
          <w:rFonts w:cs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8"/>
        <w:gridCol w:w="1012"/>
      </w:tblGrid>
      <w:tr w:rsidR="009672A6" w:rsidTr="00EB019B">
        <w:tc>
          <w:tcPr>
            <w:tcW w:w="962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EMERGENCY BILL RATE  (Line 10)</w:t>
            </w:r>
          </w:p>
          <w:p w:rsidR="009672A6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</w:rPr>
            </w:pPr>
            <w:r w:rsidRPr="006759C2">
              <w:rPr>
                <w:rFonts w:cs="Times"/>
                <w:b/>
                <w:bCs/>
                <w:sz w:val="20"/>
              </w:rPr>
              <w:t xml:space="preserve">(Less than 30 days notification). </w:t>
            </w:r>
            <w:r>
              <w:rPr>
                <w:rFonts w:cs="Times"/>
                <w:b/>
                <w:bCs/>
                <w:sz w:val="20"/>
              </w:rPr>
              <w:t xml:space="preserve"> </w:t>
            </w:r>
            <w:r w:rsidRPr="006759C2">
              <w:rPr>
                <w:rFonts w:cs="Times"/>
                <w:b/>
                <w:bCs/>
                <w:sz w:val="20"/>
              </w:rPr>
              <w:t xml:space="preserve"> *must return to regular bill rate at 30 days  </w:t>
            </w:r>
          </w:p>
        </w:tc>
        <w:tc>
          <w:tcPr>
            <w:tcW w:w="1165" w:type="dxa"/>
            <w:shd w:val="clear" w:color="auto" w:fill="FFE599" w:themeFill="accent4" w:themeFillTint="66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</w:rPr>
            </w:pPr>
          </w:p>
        </w:tc>
      </w:tr>
      <w:tr w:rsidR="009672A6" w:rsidTr="00EB019B">
        <w:tc>
          <w:tcPr>
            <w:tcW w:w="9625" w:type="dxa"/>
          </w:tcPr>
          <w:p w:rsidR="009672A6" w:rsidRPr="00AF1E30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2"/>
                <w:szCs w:val="22"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OVERTIME BILL RATE (Line item 11- must also list specific Site #)</w:t>
            </w:r>
          </w:p>
          <w:p w:rsidR="009672A6" w:rsidRPr="006759C2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  <w:sz w:val="20"/>
              </w:rPr>
            </w:pPr>
            <w:r w:rsidRPr="006759C2">
              <w:rPr>
                <w:rFonts w:cs="Times"/>
                <w:b/>
                <w:bCs/>
                <w:sz w:val="20"/>
              </w:rPr>
              <w:t>1.  Authorized only with written preapproval from agency for no more than 90 days in duration.  After 90 days the vendor will absorb overtime cost any overtime cost.</w:t>
            </w:r>
          </w:p>
          <w:p w:rsidR="009672A6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</w:rPr>
            </w:pPr>
            <w:r w:rsidRPr="006759C2">
              <w:rPr>
                <w:rFonts w:cs="Times"/>
                <w:b/>
                <w:bCs/>
                <w:sz w:val="20"/>
              </w:rPr>
              <w:t xml:space="preserve">2.  </w:t>
            </w:r>
            <w:r w:rsidRPr="006759C2">
              <w:rPr>
                <w:rFonts w:cs="Times"/>
                <w:b/>
                <w:bCs/>
                <w:color w:val="FF0000"/>
                <w:sz w:val="20"/>
                <w:highlight w:val="yellow"/>
              </w:rPr>
              <w:t>No more than 5 overtime hours may be billed per site (not per guard</w:t>
            </w:r>
            <w:r w:rsidRPr="006759C2">
              <w:rPr>
                <w:rFonts w:cs="Times"/>
                <w:b/>
                <w:bCs/>
                <w:sz w:val="20"/>
              </w:rPr>
              <w:t>).  It remains the vendor responsibility to provide armed security officers for each location at normal bill rate.  Any overtime exceeding 5 hours will be paid at regular bill rate.</w:t>
            </w:r>
            <w:r>
              <w:rPr>
                <w:rFonts w:cs="Times"/>
                <w:b/>
                <w:bCs/>
                <w:sz w:val="20"/>
              </w:rPr>
              <w:t xml:space="preserve"> (Will not exceed regular time + 50%)</w:t>
            </w:r>
          </w:p>
        </w:tc>
        <w:tc>
          <w:tcPr>
            <w:tcW w:w="1165" w:type="dxa"/>
            <w:shd w:val="clear" w:color="auto" w:fill="FFE599" w:themeFill="accent4" w:themeFillTint="66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</w:rPr>
            </w:pPr>
          </w:p>
        </w:tc>
      </w:tr>
      <w:tr w:rsidR="009672A6" w:rsidTr="00EB019B">
        <w:tc>
          <w:tcPr>
            <w:tcW w:w="9625" w:type="dxa"/>
          </w:tcPr>
          <w:p w:rsidR="009672A6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lastRenderedPageBreak/>
              <w:t>VACATION/ EXP</w:t>
            </w:r>
            <w:r>
              <w:rPr>
                <w:rFonts w:cs="Times"/>
                <w:b/>
                <w:bCs/>
                <w:sz w:val="22"/>
                <w:szCs w:val="22"/>
              </w:rPr>
              <w:t>E</w:t>
            </w:r>
            <w:r w:rsidRPr="00AF1E30">
              <w:rPr>
                <w:rFonts w:cs="Times"/>
                <w:b/>
                <w:bCs/>
                <w:sz w:val="22"/>
                <w:szCs w:val="22"/>
              </w:rPr>
              <w:t>DITED BILL RATE</w:t>
            </w:r>
            <w:r>
              <w:rPr>
                <w:rFonts w:cs="Times"/>
                <w:b/>
                <w:bCs/>
              </w:rPr>
              <w:t xml:space="preserve"> </w:t>
            </w:r>
            <w:r w:rsidRPr="00AF1E30">
              <w:rPr>
                <w:rFonts w:cs="Times"/>
                <w:b/>
                <w:bCs/>
                <w:sz w:val="20"/>
              </w:rPr>
              <w:t>(May not exceed more than 5% of regular bill rate)</w:t>
            </w:r>
            <w:r>
              <w:rPr>
                <w:rFonts w:cs="Times"/>
                <w:b/>
                <w:bCs/>
                <w:sz w:val="20"/>
              </w:rPr>
              <w:t>(Line 12)</w:t>
            </w:r>
          </w:p>
        </w:tc>
        <w:tc>
          <w:tcPr>
            <w:tcW w:w="1165" w:type="dxa"/>
            <w:shd w:val="clear" w:color="auto" w:fill="FFE599" w:themeFill="accent4" w:themeFillTint="66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</w:rPr>
            </w:pPr>
          </w:p>
        </w:tc>
      </w:tr>
      <w:tr w:rsidR="009672A6" w:rsidTr="00EB019B">
        <w:tc>
          <w:tcPr>
            <w:tcW w:w="9625" w:type="dxa"/>
          </w:tcPr>
          <w:p w:rsidR="009672A6" w:rsidRDefault="009672A6" w:rsidP="00EB019B">
            <w:pPr>
              <w:tabs>
                <w:tab w:val="left" w:pos="-720"/>
              </w:tabs>
              <w:suppressAutoHyphens/>
              <w:rPr>
                <w:rFonts w:cs="Times"/>
                <w:b/>
                <w:bCs/>
              </w:rPr>
            </w:pPr>
            <w:r w:rsidRPr="00AF1E30">
              <w:rPr>
                <w:rFonts w:cs="Times"/>
                <w:b/>
                <w:bCs/>
                <w:sz w:val="22"/>
                <w:szCs w:val="22"/>
              </w:rPr>
              <w:t>HOLIDAY BILL RATE</w:t>
            </w:r>
            <w:r>
              <w:rPr>
                <w:rFonts w:cs="Times"/>
                <w:b/>
                <w:bCs/>
              </w:rPr>
              <w:t xml:space="preserve"> (</w:t>
            </w:r>
            <w:r w:rsidRPr="00AF1E30">
              <w:rPr>
                <w:rFonts w:cs="Times"/>
                <w:b/>
                <w:bCs/>
                <w:sz w:val="20"/>
              </w:rPr>
              <w:t>(May not exceed more than 5% of regular bill rate)</w:t>
            </w:r>
            <w:r>
              <w:rPr>
                <w:rFonts w:cs="Times"/>
                <w:b/>
                <w:bCs/>
                <w:sz w:val="20"/>
              </w:rPr>
              <w:t xml:space="preserve">  (Line 13)</w:t>
            </w:r>
          </w:p>
        </w:tc>
        <w:tc>
          <w:tcPr>
            <w:tcW w:w="1165" w:type="dxa"/>
            <w:shd w:val="clear" w:color="auto" w:fill="FFE599" w:themeFill="accent4" w:themeFillTint="66"/>
          </w:tcPr>
          <w:p w:rsidR="009672A6" w:rsidRDefault="009672A6" w:rsidP="00EB019B">
            <w:pPr>
              <w:tabs>
                <w:tab w:val="left" w:pos="-720"/>
              </w:tabs>
              <w:suppressAutoHyphens/>
              <w:jc w:val="center"/>
              <w:rPr>
                <w:rFonts w:cs="Times"/>
                <w:b/>
                <w:bCs/>
              </w:rPr>
            </w:pPr>
          </w:p>
        </w:tc>
      </w:tr>
    </w:tbl>
    <w:p w:rsidR="009672A6" w:rsidRDefault="009672A6" w:rsidP="009672A6">
      <w:pPr>
        <w:tabs>
          <w:tab w:val="left" w:pos="-720"/>
        </w:tabs>
        <w:suppressAutoHyphens/>
        <w:rPr>
          <w:rFonts w:cs="Times"/>
          <w:b/>
          <w:bCs/>
        </w:rPr>
      </w:pPr>
      <w:r>
        <w:rPr>
          <w:rFonts w:cs="Times"/>
          <w:b/>
          <w:bCs/>
          <w:highlight w:val="yellow"/>
        </w:rPr>
        <w:t xml:space="preserve">1.  </w:t>
      </w:r>
      <w:r w:rsidRPr="00AF1E30">
        <w:rPr>
          <w:rFonts w:cs="Times"/>
          <w:b/>
          <w:bCs/>
          <w:highlight w:val="yellow"/>
        </w:rPr>
        <w:t>This Page must be completed and returned as a separate (working) .word document.</w:t>
      </w:r>
    </w:p>
    <w:p w:rsidR="009672A6" w:rsidRDefault="009672A6" w:rsidP="009672A6">
      <w:pPr>
        <w:tabs>
          <w:tab w:val="left" w:pos="-720"/>
        </w:tabs>
        <w:suppressAutoHyphens/>
        <w:rPr>
          <w:rFonts w:cs="Times"/>
          <w:b/>
          <w:bCs/>
        </w:rPr>
      </w:pPr>
      <w:r>
        <w:rPr>
          <w:rFonts w:cs="Times"/>
          <w:b/>
          <w:bCs/>
          <w:highlight w:val="yellow"/>
        </w:rPr>
        <w:t xml:space="preserve">2.  </w:t>
      </w:r>
      <w:r w:rsidRPr="00DF519F">
        <w:rPr>
          <w:rFonts w:cs="Times"/>
          <w:b/>
          <w:bCs/>
          <w:highlight w:val="yellow"/>
        </w:rPr>
        <w:t>The vendor will provide a separate word document demonstrating the pay received per location vs. the amount billed per location for reference purposes.</w:t>
      </w:r>
    </w:p>
    <w:p w:rsidR="00F05528" w:rsidRDefault="00197AE1"/>
    <w:sectPr w:rsidR="00F0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6"/>
    <w:rsid w:val="00197AE1"/>
    <w:rsid w:val="009672A6"/>
    <w:rsid w:val="00BF0588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00345-E8D9-41B0-8383-64CE4AE3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2</cp:revision>
  <dcterms:created xsi:type="dcterms:W3CDTF">2018-11-19T15:27:00Z</dcterms:created>
  <dcterms:modified xsi:type="dcterms:W3CDTF">2018-11-19T15:29:00Z</dcterms:modified>
</cp:coreProperties>
</file>