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466EA" w:rsidRDefault="00011247" w:rsidP="00EF67B6">
      <w:pPr>
        <w:spacing w:after="0"/>
        <w:rPr>
          <w:rFonts w:ascii="Times New Roman" w:hAnsi="Times New Roman"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>RFP Title</w:t>
      </w:r>
      <w:r w:rsidRPr="008466EA">
        <w:rPr>
          <w:rFonts w:ascii="Times New Roman" w:hAnsi="Times New Roman"/>
          <w:spacing w:val="-3"/>
          <w:u w:val="single"/>
        </w:rPr>
        <w:t xml:space="preserve">: </w:t>
      </w:r>
      <w:r w:rsidR="008466EA" w:rsidRPr="008466EA">
        <w:rPr>
          <w:rFonts w:ascii="Times New Roman" w:hAnsi="Times New Roman"/>
          <w:u w:val="single"/>
        </w:rPr>
        <w:t xml:space="preserve">CYF </w:t>
      </w:r>
      <w:r w:rsidR="00BB7EEE" w:rsidRPr="00BA2256">
        <w:rPr>
          <w:rFonts w:ascii="Times New Roman" w:hAnsi="Times New Roman"/>
          <w:szCs w:val="24"/>
          <w:u w:val="single"/>
        </w:rPr>
        <w:t>1</w:t>
      </w:r>
      <w:r w:rsidR="00BB7EEE">
        <w:rPr>
          <w:rFonts w:ascii="Times New Roman" w:hAnsi="Times New Roman"/>
          <w:szCs w:val="24"/>
          <w:u w:val="single"/>
        </w:rPr>
        <w:t>9</w:t>
      </w:r>
      <w:r w:rsidR="00BB7EEE" w:rsidRPr="00BA2256">
        <w:rPr>
          <w:rFonts w:ascii="Times New Roman" w:hAnsi="Times New Roman"/>
          <w:szCs w:val="24"/>
          <w:u w:val="single"/>
        </w:rPr>
        <w:t>-0</w:t>
      </w:r>
      <w:r w:rsidR="00BB7EEE">
        <w:rPr>
          <w:rFonts w:ascii="Times New Roman" w:hAnsi="Times New Roman"/>
          <w:szCs w:val="24"/>
          <w:u w:val="single"/>
        </w:rPr>
        <w:t>5</w:t>
      </w:r>
      <w:r w:rsidR="00BB7EEE" w:rsidRPr="00BA2256">
        <w:rPr>
          <w:rFonts w:ascii="Times New Roman" w:hAnsi="Times New Roman"/>
          <w:szCs w:val="24"/>
          <w:u w:val="single"/>
        </w:rPr>
        <w:t xml:space="preserve"> Project AWARE Mental Health Provider of CBITS and Functional Family Therapy</w:t>
      </w:r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BB7EEE" w:rsidP="00BB7EEE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Bidder</w:t>
            </w:r>
            <w:r w:rsidR="00011247" w:rsidRPr="00A5672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011247" w:rsidRPr="00A56726">
              <w:rPr>
                <w:rFonts w:ascii="Times New Roman" w:hAnsi="Times New Roman"/>
              </w:rPr>
              <w:t>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BB7EEE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BB7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BB7EEE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BB7EE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BB7EE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71662A"/>
    <w:rsid w:val="008466EA"/>
    <w:rsid w:val="009141EF"/>
    <w:rsid w:val="00B10791"/>
    <w:rsid w:val="00BB7EEE"/>
    <w:rsid w:val="00C50C3F"/>
    <w:rsid w:val="00E30346"/>
    <w:rsid w:val="00EF67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D549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8</cp:revision>
  <dcterms:created xsi:type="dcterms:W3CDTF">2018-09-25T13:44:00Z</dcterms:created>
  <dcterms:modified xsi:type="dcterms:W3CDTF">2019-01-11T19:15:00Z</dcterms:modified>
</cp:coreProperties>
</file>